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1FF2" w14:textId="716C6BCD" w:rsidR="00C409C1" w:rsidRPr="00C409C1" w:rsidRDefault="009221D2" w:rsidP="00DA0C41">
      <w:pPr>
        <w:spacing w:before="240" w:after="0"/>
        <w:rPr>
          <w:b/>
          <w:i/>
        </w:rPr>
      </w:pPr>
      <w:r>
        <w:t>Via OHS Electronic CON Portal</w:t>
      </w:r>
      <w:r w:rsidR="00C409C1">
        <w:tab/>
      </w:r>
      <w:r w:rsidR="00C409C1">
        <w:tab/>
      </w:r>
      <w:r w:rsidR="00C409C1">
        <w:tab/>
      </w:r>
      <w:r w:rsidR="00C409C1">
        <w:tab/>
      </w:r>
      <w:r w:rsidR="00C409C1">
        <w:tab/>
      </w:r>
      <w:r w:rsidR="00C409C1">
        <w:tab/>
      </w:r>
      <w:r w:rsidR="00C409C1">
        <w:tab/>
      </w:r>
      <w:r w:rsidR="00C409C1">
        <w:tab/>
      </w:r>
      <w:r w:rsidR="00C409C1">
        <w:tab/>
      </w:r>
    </w:p>
    <w:p w14:paraId="2A75768F" w14:textId="3F12931D" w:rsidR="00C409C1" w:rsidRDefault="008D7FC7" w:rsidP="00DA0C41">
      <w:pPr>
        <w:spacing w:before="240" w:after="0"/>
      </w:pPr>
      <w:r>
        <w:t>April 8, 2019</w:t>
      </w:r>
    </w:p>
    <w:p w14:paraId="0040CE3E" w14:textId="77777777" w:rsidR="00AA66D9" w:rsidRDefault="006D5B89" w:rsidP="00DA0C41">
      <w:pPr>
        <w:spacing w:before="240" w:after="0"/>
      </w:pPr>
      <w:r>
        <w:t>Ms. Michaela Mitchell</w:t>
      </w:r>
    </w:p>
    <w:p w14:paraId="5134C889" w14:textId="77777777" w:rsidR="00330544" w:rsidRDefault="006D5B89" w:rsidP="00135DCF">
      <w:pPr>
        <w:spacing w:after="0"/>
      </w:pPr>
      <w:r>
        <w:t>State of Connecticut</w:t>
      </w:r>
    </w:p>
    <w:p w14:paraId="70FE0975" w14:textId="77777777" w:rsidR="00330544" w:rsidRDefault="006D5B89" w:rsidP="00135DCF">
      <w:pPr>
        <w:spacing w:after="0"/>
      </w:pPr>
      <w:r>
        <w:t>Office of Health Strategy</w:t>
      </w:r>
    </w:p>
    <w:p w14:paraId="5CBDC5FD" w14:textId="77777777" w:rsidR="00330544" w:rsidRDefault="006D5B89" w:rsidP="00135DCF">
      <w:pPr>
        <w:spacing w:after="0"/>
      </w:pPr>
      <w:r>
        <w:t>450 Capitol Avenue</w:t>
      </w:r>
    </w:p>
    <w:p w14:paraId="776157BE" w14:textId="77777777" w:rsidR="00330544" w:rsidRDefault="006D5B89" w:rsidP="00135DCF">
      <w:pPr>
        <w:spacing w:after="0"/>
      </w:pPr>
      <w:r>
        <w:t>Hartford, Connecticut 06106</w:t>
      </w:r>
    </w:p>
    <w:p w14:paraId="6C70163F" w14:textId="77777777" w:rsidR="00CA66F7" w:rsidRPr="00330544" w:rsidRDefault="00CA66F7" w:rsidP="00135DCF">
      <w:pPr>
        <w:spacing w:after="0"/>
      </w:pPr>
    </w:p>
    <w:p w14:paraId="0FBD9F45" w14:textId="77777777" w:rsidR="00C0356B" w:rsidRPr="00C0356B" w:rsidRDefault="00AA66D9" w:rsidP="00C0356B">
      <w:pPr>
        <w:spacing w:after="0"/>
        <w:ind w:left="720" w:hanging="720"/>
        <w:rPr>
          <w:b/>
        </w:rPr>
      </w:pPr>
      <w:r w:rsidRPr="00330544">
        <w:t>Re:</w:t>
      </w:r>
      <w:r w:rsidRPr="00330544">
        <w:tab/>
      </w:r>
      <w:r w:rsidR="00C0356B" w:rsidRPr="00C0356B">
        <w:rPr>
          <w:b/>
        </w:rPr>
        <w:t>Certificate of Need Application:  Docket Number 18-32231-CON</w:t>
      </w:r>
    </w:p>
    <w:p w14:paraId="7893DED9" w14:textId="77777777" w:rsidR="00C0356B" w:rsidRPr="00C0356B" w:rsidRDefault="00C0356B" w:rsidP="00A61161">
      <w:pPr>
        <w:spacing w:after="0"/>
        <w:ind w:left="720"/>
        <w:rPr>
          <w:b/>
        </w:rPr>
      </w:pPr>
      <w:r w:rsidRPr="00C0356B">
        <w:rPr>
          <w:b/>
        </w:rPr>
        <w:t>Yale New Haven Hospital</w:t>
      </w:r>
    </w:p>
    <w:p w14:paraId="5BD9214B" w14:textId="77777777" w:rsidR="00C0356B" w:rsidRPr="00C0356B" w:rsidRDefault="00C0356B" w:rsidP="00A61161">
      <w:pPr>
        <w:spacing w:after="0"/>
        <w:ind w:left="720"/>
        <w:rPr>
          <w:b/>
        </w:rPr>
      </w:pPr>
      <w:r w:rsidRPr="00C0356B">
        <w:rPr>
          <w:b/>
        </w:rPr>
        <w:t>Termination of Primary Care Services</w:t>
      </w:r>
    </w:p>
    <w:p w14:paraId="2C32E2E7" w14:textId="77777777" w:rsidR="00A61161" w:rsidRDefault="00A61161" w:rsidP="00C0356B">
      <w:pPr>
        <w:spacing w:after="0"/>
        <w:ind w:left="720" w:hanging="720"/>
        <w:rPr>
          <w:b/>
        </w:rPr>
      </w:pPr>
      <w:r>
        <w:rPr>
          <w:b/>
        </w:rPr>
        <w:tab/>
      </w:r>
      <w:r w:rsidR="00C0356B" w:rsidRPr="00C0356B">
        <w:rPr>
          <w:b/>
        </w:rPr>
        <w:t>Fifth Order for Late File</w:t>
      </w:r>
    </w:p>
    <w:p w14:paraId="01D523CA" w14:textId="77777777" w:rsidR="00A61161" w:rsidRDefault="00A61161" w:rsidP="00C0356B">
      <w:pPr>
        <w:spacing w:after="0"/>
        <w:ind w:left="720" w:hanging="720"/>
        <w:rPr>
          <w:b/>
        </w:rPr>
      </w:pPr>
    </w:p>
    <w:p w14:paraId="7C0DE94E" w14:textId="119E52A4" w:rsidR="00AA66D9" w:rsidRPr="00330544" w:rsidRDefault="00AA66D9" w:rsidP="00C0356B">
      <w:pPr>
        <w:spacing w:after="0"/>
        <w:ind w:left="720" w:hanging="720"/>
      </w:pPr>
      <w:r w:rsidRPr="00330544">
        <w:t xml:space="preserve">Dear </w:t>
      </w:r>
      <w:r w:rsidR="006D5B89">
        <w:t>Ms. Mitchell</w:t>
      </w:r>
      <w:r w:rsidRPr="00330544">
        <w:t>:</w:t>
      </w:r>
    </w:p>
    <w:p w14:paraId="3CBC541D" w14:textId="77777777" w:rsidR="00685F0B" w:rsidRDefault="00CA66F7" w:rsidP="00C553CD">
      <w:r>
        <w:t>We are in receipt of the Fifth Order from the Office of Health Strategy on the Certificate of Need Application by Yale New Haven Hospital dated March 22, 2019 for the property at 150 Sargent Drive in New Haven.</w:t>
      </w:r>
    </w:p>
    <w:p w14:paraId="1FF3C344" w14:textId="77777777" w:rsidR="00CA66F7" w:rsidRDefault="00CA66F7" w:rsidP="00CA66F7">
      <w:r>
        <w:t>We have repeated the questions posed by OHS below, with our response following in bold face type.</w:t>
      </w:r>
    </w:p>
    <w:p w14:paraId="6596BC4D" w14:textId="14867AAA" w:rsidR="00CA66F7" w:rsidRDefault="00CA66F7" w:rsidP="00CA66F7">
      <w:pPr>
        <w:spacing w:before="271"/>
        <w:ind w:left="720" w:hanging="720"/>
        <w:textAlignment w:val="baseline"/>
        <w:rPr>
          <w:color w:val="000000"/>
        </w:rPr>
      </w:pPr>
      <w:r w:rsidRPr="00CA66F7">
        <w:rPr>
          <w:color w:val="000000"/>
        </w:rPr>
        <w:t>1.</w:t>
      </w:r>
      <w:r>
        <w:rPr>
          <w:color w:val="000000"/>
        </w:rPr>
        <w:tab/>
      </w:r>
      <w:r w:rsidRPr="00CA66F7">
        <w:rPr>
          <w:color w:val="000000"/>
        </w:rPr>
        <w:t xml:space="preserve">Provide additional details, </w:t>
      </w:r>
      <w:r w:rsidRPr="00CA66F7">
        <w:rPr>
          <w:b/>
          <w:color w:val="000000"/>
        </w:rPr>
        <w:t xml:space="preserve">inclusive of supportive documentation, </w:t>
      </w:r>
      <w:r w:rsidRPr="00CA66F7">
        <w:rPr>
          <w:color w:val="000000"/>
        </w:rPr>
        <w:t>regarding the flood history and flood risk at 150 Sargent Drive, in New Haven, Connecticut. Include the following:</w:t>
      </w:r>
    </w:p>
    <w:p w14:paraId="0AE0CA2B" w14:textId="18BBB294" w:rsidR="002674AB" w:rsidRDefault="00AD42D6" w:rsidP="00CA66F7">
      <w:pPr>
        <w:spacing w:before="271"/>
        <w:ind w:left="720" w:hanging="720"/>
        <w:textAlignment w:val="baseline"/>
        <w:rPr>
          <w:color w:val="000000"/>
        </w:rPr>
      </w:pPr>
      <w:r>
        <w:rPr>
          <w:color w:val="000000"/>
        </w:rPr>
        <w:tab/>
      </w:r>
      <w:r w:rsidR="002674AB" w:rsidRPr="00D82BFD">
        <w:rPr>
          <w:b/>
        </w:rPr>
        <w:t xml:space="preserve">As discussed </w:t>
      </w:r>
      <w:r w:rsidR="00986F39">
        <w:rPr>
          <w:b/>
        </w:rPr>
        <w:t xml:space="preserve">in detail </w:t>
      </w:r>
      <w:r w:rsidR="002674AB" w:rsidRPr="00D82BFD">
        <w:rPr>
          <w:b/>
        </w:rPr>
        <w:t xml:space="preserve">below, the building located at </w:t>
      </w:r>
      <w:r w:rsidR="00986F39">
        <w:rPr>
          <w:b/>
        </w:rPr>
        <w:t>150 Sargent Drive</w:t>
      </w:r>
      <w:r w:rsidR="002674AB" w:rsidRPr="00D82BFD">
        <w:rPr>
          <w:b/>
        </w:rPr>
        <w:t xml:space="preserve"> has not been flooded within the past ten </w:t>
      </w:r>
      <w:r w:rsidR="002674AB">
        <w:rPr>
          <w:b/>
        </w:rPr>
        <w:t xml:space="preserve">(10) </w:t>
      </w:r>
      <w:r w:rsidR="002674AB" w:rsidRPr="00D82BFD">
        <w:rPr>
          <w:b/>
        </w:rPr>
        <w:t>years, even during Tropical Storm Irene and Superstorm Sandy.</w:t>
      </w:r>
    </w:p>
    <w:p w14:paraId="125899DC" w14:textId="2D7130DE" w:rsidR="00244E44" w:rsidRDefault="002674AB" w:rsidP="00CA66F7">
      <w:pPr>
        <w:spacing w:before="271"/>
        <w:ind w:left="720" w:hanging="720"/>
        <w:textAlignment w:val="baseline"/>
        <w:rPr>
          <w:b/>
        </w:rPr>
      </w:pPr>
      <w:r>
        <w:rPr>
          <w:color w:val="000000"/>
        </w:rPr>
        <w:tab/>
      </w:r>
      <w:r w:rsidR="00AD42D6" w:rsidRPr="00244E44">
        <w:rPr>
          <w:b/>
          <w:color w:val="000000"/>
        </w:rPr>
        <w:t>The Long Wharf area of New Haven</w:t>
      </w:r>
      <w:r>
        <w:rPr>
          <w:b/>
          <w:color w:val="000000"/>
        </w:rPr>
        <w:t xml:space="preserve"> is a vibrant part of the city that is the subject of significant investment and development</w:t>
      </w:r>
      <w:r w:rsidR="00AD42D6" w:rsidRPr="00244E44">
        <w:rPr>
          <w:b/>
          <w:color w:val="000000"/>
        </w:rPr>
        <w:t xml:space="preserve">.  </w:t>
      </w:r>
      <w:r w:rsidR="00AD42D6" w:rsidRPr="00A563F0">
        <w:rPr>
          <w:b/>
          <w:color w:val="000000"/>
        </w:rPr>
        <w:t>The area currently includes significant business</w:t>
      </w:r>
      <w:r w:rsidR="00A61161">
        <w:rPr>
          <w:b/>
          <w:color w:val="000000"/>
        </w:rPr>
        <w:t>es</w:t>
      </w:r>
      <w:r w:rsidR="00AD42D6" w:rsidRPr="00A563F0">
        <w:rPr>
          <w:b/>
          <w:color w:val="000000"/>
        </w:rPr>
        <w:t xml:space="preserve">, including IKEA, </w:t>
      </w:r>
      <w:r w:rsidR="00AD42D6" w:rsidRPr="00AF6956">
        <w:rPr>
          <w:b/>
          <w:color w:val="000000"/>
        </w:rPr>
        <w:t xml:space="preserve">Jordan’s Furniture, </w:t>
      </w:r>
      <w:proofErr w:type="spellStart"/>
      <w:r w:rsidR="00AD42D6" w:rsidRPr="00AF6956">
        <w:rPr>
          <w:b/>
          <w:color w:val="000000"/>
        </w:rPr>
        <w:t>Assa</w:t>
      </w:r>
      <w:proofErr w:type="spellEnd"/>
      <w:r w:rsidR="00AD42D6" w:rsidRPr="00AF6956">
        <w:rPr>
          <w:b/>
          <w:color w:val="000000"/>
        </w:rPr>
        <w:t xml:space="preserve"> </w:t>
      </w:r>
      <w:proofErr w:type="spellStart"/>
      <w:r w:rsidR="00AD42D6" w:rsidRPr="00AF6956">
        <w:rPr>
          <w:b/>
          <w:color w:val="000000"/>
        </w:rPr>
        <w:t>Abloy</w:t>
      </w:r>
      <w:proofErr w:type="spellEnd"/>
      <w:r w:rsidR="00244E44">
        <w:rPr>
          <w:b/>
          <w:color w:val="000000"/>
        </w:rPr>
        <w:t>, and</w:t>
      </w:r>
      <w:r w:rsidR="00AD42D6" w:rsidRPr="00244E44">
        <w:rPr>
          <w:b/>
          <w:color w:val="000000"/>
        </w:rPr>
        <w:t xml:space="preserve"> the Regional Water Authority, as well as restaurants, a hotel and other commercial </w:t>
      </w:r>
      <w:r w:rsidR="00AD42D6" w:rsidRPr="00A563F0">
        <w:rPr>
          <w:b/>
          <w:color w:val="000000"/>
        </w:rPr>
        <w:t>venture</w:t>
      </w:r>
      <w:r w:rsidR="00244E44" w:rsidRPr="00A563F0">
        <w:rPr>
          <w:b/>
          <w:color w:val="000000"/>
        </w:rPr>
        <w:t>s</w:t>
      </w:r>
      <w:r w:rsidR="00AD42D6" w:rsidRPr="00A563F0">
        <w:rPr>
          <w:b/>
          <w:color w:val="000000"/>
        </w:rPr>
        <w:t xml:space="preserve">.  It is also the home to the Long Wharf </w:t>
      </w:r>
      <w:r w:rsidR="00AD42D6" w:rsidRPr="00AF6956">
        <w:rPr>
          <w:b/>
          <w:color w:val="000000"/>
        </w:rPr>
        <w:t>Theatre.  The City of</w:t>
      </w:r>
      <w:r w:rsidR="00244E44" w:rsidRPr="00AF6956">
        <w:rPr>
          <w:b/>
          <w:color w:val="000000"/>
        </w:rPr>
        <w:t xml:space="preserve"> New Haven</w:t>
      </w:r>
      <w:r w:rsidR="00244E44" w:rsidRPr="00244E44">
        <w:rPr>
          <w:b/>
          <w:color w:val="000000"/>
        </w:rPr>
        <w:t xml:space="preserve"> has plans to expand development in the area and to establish it as a dynamic mixed-use district with new housing, parks, and other commercial development.  Information on the City’s Long Wharf Responsible Growth Plan can be found here: </w:t>
      </w:r>
      <w:hyperlink r:id="rId9" w:history="1">
        <w:r w:rsidR="00244E44" w:rsidRPr="00244E44">
          <w:rPr>
            <w:rStyle w:val="Hyperlink"/>
            <w:b/>
          </w:rPr>
          <w:t>https://www.newhavenct.gov/gov/depts/ed/current/long_wharf.htm</w:t>
        </w:r>
      </w:hyperlink>
      <w:r w:rsidR="00244E44" w:rsidRPr="00244E44">
        <w:rPr>
          <w:b/>
        </w:rPr>
        <w:t>.</w:t>
      </w:r>
      <w:r w:rsidR="00414226">
        <w:rPr>
          <w:b/>
        </w:rPr>
        <w:t xml:space="preserve">  A copy of the Executive Summary of the plan is attached as Exhibit </w:t>
      </w:r>
      <w:r w:rsidR="00537B3D">
        <w:rPr>
          <w:b/>
        </w:rPr>
        <w:t>1</w:t>
      </w:r>
      <w:r w:rsidR="00414226">
        <w:rPr>
          <w:b/>
        </w:rPr>
        <w:t>.</w:t>
      </w:r>
      <w:r w:rsidR="00244E44" w:rsidRPr="00244E44">
        <w:rPr>
          <w:b/>
        </w:rPr>
        <w:t xml:space="preserve">  </w:t>
      </w:r>
      <w:r w:rsidR="00244E44">
        <w:rPr>
          <w:b/>
        </w:rPr>
        <w:t>Development of the area is already underway, with the City recently approving the conversion of the historic Pirelli Building into a hotel</w:t>
      </w:r>
      <w:r w:rsidR="0080453D">
        <w:rPr>
          <w:b/>
        </w:rPr>
        <w:t xml:space="preserve"> (the Pirelli Building is located near IKEA, less than a half mile away from 150 Sargent Drive)</w:t>
      </w:r>
      <w:r w:rsidR="00244E44">
        <w:rPr>
          <w:b/>
        </w:rPr>
        <w:t>.</w:t>
      </w:r>
    </w:p>
    <w:p w14:paraId="43F1983F" w14:textId="0EA82E0F" w:rsidR="00244E44" w:rsidRPr="00AD42D6" w:rsidRDefault="00414226" w:rsidP="00CA66F7">
      <w:pPr>
        <w:spacing w:before="271"/>
        <w:ind w:left="720" w:hanging="720"/>
        <w:textAlignment w:val="baseline"/>
        <w:rPr>
          <w:b/>
          <w:color w:val="000000"/>
        </w:rPr>
      </w:pPr>
      <w:r>
        <w:rPr>
          <w:b/>
        </w:rPr>
        <w:tab/>
      </w:r>
      <w:r w:rsidR="00B22A00">
        <w:rPr>
          <w:b/>
        </w:rPr>
        <w:t xml:space="preserve">In late fall of 2018, YNHH engaged </w:t>
      </w:r>
      <w:proofErr w:type="spellStart"/>
      <w:r w:rsidR="00B22A00">
        <w:rPr>
          <w:b/>
        </w:rPr>
        <w:t>Tighe</w:t>
      </w:r>
      <w:proofErr w:type="spellEnd"/>
      <w:r w:rsidR="00B22A00">
        <w:rPr>
          <w:b/>
        </w:rPr>
        <w:t xml:space="preserve"> &amp; Bond, a</w:t>
      </w:r>
      <w:r w:rsidR="00D82BFD">
        <w:rPr>
          <w:b/>
        </w:rPr>
        <w:t>n environmental engineering firm,</w:t>
      </w:r>
      <w:r w:rsidR="00B22A00">
        <w:rPr>
          <w:b/>
        </w:rPr>
        <w:t xml:space="preserve"> to provide environmental design oversight for the planned interior renovation at 150 Sargent Drive.  In the process of its review, </w:t>
      </w:r>
      <w:proofErr w:type="spellStart"/>
      <w:r w:rsidR="00B22A00">
        <w:rPr>
          <w:b/>
        </w:rPr>
        <w:t>Tighe</w:t>
      </w:r>
      <w:proofErr w:type="spellEnd"/>
      <w:r w:rsidR="00B22A00">
        <w:rPr>
          <w:b/>
        </w:rPr>
        <w:t xml:space="preserve"> &amp; Bond </w:t>
      </w:r>
      <w:r w:rsidR="00D82BFD">
        <w:rPr>
          <w:b/>
        </w:rPr>
        <w:t>identified certain</w:t>
      </w:r>
      <w:r w:rsidR="00B22A00">
        <w:rPr>
          <w:b/>
        </w:rPr>
        <w:t xml:space="preserve"> floodplain </w:t>
      </w:r>
      <w:r w:rsidR="00D82BFD">
        <w:rPr>
          <w:b/>
        </w:rPr>
        <w:t xml:space="preserve">requirements </w:t>
      </w:r>
      <w:r w:rsidR="00B22A00">
        <w:rPr>
          <w:b/>
        </w:rPr>
        <w:t xml:space="preserve">and issued a report to YNHH on October 25, 2018 (copy attached as Exhibit </w:t>
      </w:r>
      <w:r w:rsidR="00537B3D">
        <w:rPr>
          <w:b/>
        </w:rPr>
        <w:t>2</w:t>
      </w:r>
      <w:r w:rsidR="00B22A00">
        <w:rPr>
          <w:b/>
        </w:rPr>
        <w:t xml:space="preserve">).  The report resulted in </w:t>
      </w:r>
      <w:r w:rsidR="005B5BF7">
        <w:rPr>
          <w:b/>
        </w:rPr>
        <w:t xml:space="preserve">numerous </w:t>
      </w:r>
      <w:r w:rsidR="00B22A00">
        <w:rPr>
          <w:b/>
        </w:rPr>
        <w:t xml:space="preserve">discussions </w:t>
      </w:r>
      <w:r w:rsidR="005B5BF7">
        <w:rPr>
          <w:b/>
        </w:rPr>
        <w:t xml:space="preserve">over the next few months </w:t>
      </w:r>
      <w:r w:rsidR="00B22A00">
        <w:rPr>
          <w:b/>
        </w:rPr>
        <w:t xml:space="preserve">with the City of New </w:t>
      </w:r>
      <w:r w:rsidR="00B22A00">
        <w:rPr>
          <w:b/>
        </w:rPr>
        <w:lastRenderedPageBreak/>
        <w:t xml:space="preserve">Haven and </w:t>
      </w:r>
      <w:r w:rsidR="00D82BFD">
        <w:rPr>
          <w:b/>
        </w:rPr>
        <w:t>the</w:t>
      </w:r>
      <w:r w:rsidR="00B22A00">
        <w:rPr>
          <w:b/>
        </w:rPr>
        <w:t xml:space="preserve"> Connecticut DEEP about the building’s categorization on flood hazard maps prepared by The </w:t>
      </w:r>
      <w:r w:rsidR="00A563F0">
        <w:rPr>
          <w:b/>
        </w:rPr>
        <w:t>National Flood Insurance Program</w:t>
      </w:r>
      <w:r w:rsidR="009221D2">
        <w:rPr>
          <w:b/>
        </w:rPr>
        <w:t xml:space="preserve"> (NFIP)</w:t>
      </w:r>
      <w:r w:rsidR="00A563F0">
        <w:rPr>
          <w:b/>
        </w:rPr>
        <w:t xml:space="preserve"> operated by the Federal Emergency Management Agency (FEMA)</w:t>
      </w:r>
      <w:r w:rsidR="00B22A00">
        <w:rPr>
          <w:b/>
        </w:rPr>
        <w:t xml:space="preserve">.  </w:t>
      </w:r>
      <w:r w:rsidR="00125101">
        <w:rPr>
          <w:b/>
        </w:rPr>
        <w:t>These discussions had not yet resulted in a definitive answer about the building’s categorization by late January 2019, when YNHH filed for a permit from the City of New Haven to begin first floor renovations.  At that point, YNHH was informed that a floodplain development permit would be required to obtain a building permit, which had not been anticipated by YNHH.</w:t>
      </w:r>
      <w:r w:rsidR="00DA3169">
        <w:rPr>
          <w:b/>
        </w:rPr>
        <w:t xml:space="preserve">  This finding by the City stemmed from a misunderstanding about the status of the site on the FEMA flood hazard maps</w:t>
      </w:r>
      <w:r w:rsidR="00C57484">
        <w:rPr>
          <w:b/>
        </w:rPr>
        <w:t>.  The maps show an atypical situation where waves regenerate in properties behind the subject parcel due to prevailing winds.   The City was unsure if this was truly a</w:t>
      </w:r>
      <w:r w:rsidR="00C409C1">
        <w:rPr>
          <w:b/>
        </w:rPr>
        <w:t>n atypical situation or if it was</w:t>
      </w:r>
      <w:r w:rsidR="00C57484">
        <w:rPr>
          <w:b/>
        </w:rPr>
        <w:t xml:space="preserve"> a mapping error.   As a result, the City requested clarification </w:t>
      </w:r>
      <w:r w:rsidR="00A61161">
        <w:rPr>
          <w:b/>
        </w:rPr>
        <w:t xml:space="preserve">as to whether </w:t>
      </w:r>
      <w:r w:rsidR="00C57484">
        <w:rPr>
          <w:b/>
        </w:rPr>
        <w:t>the building structure was located in</w:t>
      </w:r>
      <w:r w:rsidR="00DA3169">
        <w:rPr>
          <w:b/>
        </w:rPr>
        <w:t xml:space="preserve"> a coastal high hazard area subject to high-velocity wave action (“</w:t>
      </w:r>
      <w:r w:rsidR="00C57484">
        <w:rPr>
          <w:b/>
        </w:rPr>
        <w:t xml:space="preserve">Coastal AE </w:t>
      </w:r>
      <w:r w:rsidR="00DA3169">
        <w:rPr>
          <w:b/>
        </w:rPr>
        <w:t>Zone”) rather than a</w:t>
      </w:r>
      <w:r w:rsidR="00C57484">
        <w:rPr>
          <w:b/>
        </w:rPr>
        <w:t>n</w:t>
      </w:r>
      <w:r w:rsidR="00DA3169">
        <w:rPr>
          <w:b/>
        </w:rPr>
        <w:t xml:space="preserve"> “A</w:t>
      </w:r>
      <w:r w:rsidR="00C57484">
        <w:rPr>
          <w:b/>
        </w:rPr>
        <w:t>E</w:t>
      </w:r>
      <w:r w:rsidR="00DA3169">
        <w:rPr>
          <w:b/>
        </w:rPr>
        <w:t xml:space="preserve"> Zone” that is outside of a high hazard area.  </w:t>
      </w:r>
      <w:r w:rsidR="00094D41">
        <w:rPr>
          <w:b/>
        </w:rPr>
        <w:t xml:space="preserve">This is a key distinction </w:t>
      </w:r>
      <w:r w:rsidR="00ED2BE1">
        <w:rPr>
          <w:b/>
        </w:rPr>
        <w:t xml:space="preserve">as </w:t>
      </w:r>
      <w:r w:rsidR="00094D41">
        <w:rPr>
          <w:b/>
        </w:rPr>
        <w:t xml:space="preserve">the building code </w:t>
      </w:r>
      <w:r w:rsidR="00ED2BE1">
        <w:rPr>
          <w:b/>
        </w:rPr>
        <w:t>places more rigorous</w:t>
      </w:r>
      <w:r w:rsidR="00094D41">
        <w:rPr>
          <w:b/>
        </w:rPr>
        <w:t xml:space="preserve"> requirements </w:t>
      </w:r>
      <w:r w:rsidR="00ED2BE1">
        <w:rPr>
          <w:b/>
        </w:rPr>
        <w:t xml:space="preserve">on </w:t>
      </w:r>
      <w:r w:rsidR="00094D41">
        <w:rPr>
          <w:b/>
        </w:rPr>
        <w:t xml:space="preserve">buildings </w:t>
      </w:r>
      <w:r w:rsidR="00ED2BE1">
        <w:rPr>
          <w:b/>
        </w:rPr>
        <w:t xml:space="preserve">located </w:t>
      </w:r>
      <w:r w:rsidR="00094D41">
        <w:rPr>
          <w:b/>
        </w:rPr>
        <w:t xml:space="preserve">in Coastal AE Zones.  </w:t>
      </w:r>
      <w:r w:rsidR="00D03F60">
        <w:rPr>
          <w:b/>
        </w:rPr>
        <w:t xml:space="preserve">Additional </w:t>
      </w:r>
      <w:r w:rsidR="00DA3169">
        <w:rPr>
          <w:b/>
        </w:rPr>
        <w:t xml:space="preserve">discussions took place over the next several weeks, with the Connecticut DEEP </w:t>
      </w:r>
      <w:r w:rsidR="00C409C1">
        <w:rPr>
          <w:b/>
        </w:rPr>
        <w:t>finding</w:t>
      </w:r>
      <w:r w:rsidR="00DA3169">
        <w:rPr>
          <w:b/>
        </w:rPr>
        <w:t xml:space="preserve"> that the site is outside of the high hazard area and the City confirming </w:t>
      </w:r>
      <w:r w:rsidR="00125101">
        <w:rPr>
          <w:b/>
        </w:rPr>
        <w:t xml:space="preserve">this conclusion </w:t>
      </w:r>
      <w:r w:rsidR="00C409C1">
        <w:rPr>
          <w:b/>
        </w:rPr>
        <w:t>at a meeting in February 2019</w:t>
      </w:r>
      <w:r w:rsidR="00ED2BE1">
        <w:rPr>
          <w:b/>
        </w:rPr>
        <w:t xml:space="preserve">. </w:t>
      </w:r>
      <w:r w:rsidR="00C409C1">
        <w:rPr>
          <w:b/>
        </w:rPr>
        <w:t xml:space="preserve"> </w:t>
      </w:r>
      <w:r w:rsidR="00ED2BE1">
        <w:rPr>
          <w:b/>
        </w:rPr>
        <w:t xml:space="preserve">The City </w:t>
      </w:r>
      <w:r w:rsidR="00C409C1">
        <w:rPr>
          <w:b/>
        </w:rPr>
        <w:t xml:space="preserve">then </w:t>
      </w:r>
      <w:r w:rsidR="00ED2BE1">
        <w:rPr>
          <w:b/>
        </w:rPr>
        <w:t xml:space="preserve">issued </w:t>
      </w:r>
      <w:r w:rsidR="00DA3169">
        <w:rPr>
          <w:b/>
        </w:rPr>
        <w:t xml:space="preserve">a permit for the first phase of renovations in </w:t>
      </w:r>
      <w:r w:rsidR="00C409C1">
        <w:rPr>
          <w:b/>
        </w:rPr>
        <w:t>March</w:t>
      </w:r>
      <w:r w:rsidR="00DA3169">
        <w:rPr>
          <w:b/>
        </w:rPr>
        <w:t xml:space="preserve"> 2019</w:t>
      </w:r>
      <w:r w:rsidR="00ED2BE1">
        <w:rPr>
          <w:b/>
        </w:rPr>
        <w:t xml:space="preserve">, which caused the initial two month delay of Phase I construction noted in Fourth Order </w:t>
      </w:r>
      <w:r w:rsidR="00B47A4E">
        <w:rPr>
          <w:b/>
        </w:rPr>
        <w:t>response.</w:t>
      </w:r>
      <w:r w:rsidR="00DA3169">
        <w:rPr>
          <w:b/>
        </w:rPr>
        <w:t xml:space="preserve">  YNHH and the City now have clarity around the required permits and necessary precautions to be taken to flood proof the building in connection with the planned renovations.</w:t>
      </w:r>
    </w:p>
    <w:p w14:paraId="62C2C371" w14:textId="77777777" w:rsidR="00CA66F7" w:rsidRDefault="00CA66F7" w:rsidP="00CA66F7">
      <w:pPr>
        <w:spacing w:before="277"/>
        <w:ind w:left="1440" w:hanging="720"/>
        <w:textAlignment w:val="baseline"/>
        <w:rPr>
          <w:color w:val="000000"/>
          <w:spacing w:val="-2"/>
        </w:rPr>
      </w:pPr>
      <w:r w:rsidRPr="00CA66F7">
        <w:rPr>
          <w:color w:val="000000"/>
          <w:spacing w:val="-2"/>
        </w:rPr>
        <w:t>a.</w:t>
      </w:r>
      <w:r>
        <w:rPr>
          <w:color w:val="000000"/>
          <w:spacing w:val="-2"/>
        </w:rPr>
        <w:tab/>
      </w:r>
      <w:r w:rsidRPr="00CA66F7">
        <w:rPr>
          <w:color w:val="000000"/>
          <w:spacing w:val="-2"/>
        </w:rPr>
        <w:t>Information about whether this location has flooded within the past ten years; particularly during hurricanes Irene (2011) and Sandy (2012). Describe, in detail:</w:t>
      </w:r>
    </w:p>
    <w:p w14:paraId="21E23872" w14:textId="73D32E72" w:rsidR="00DA3169" w:rsidRDefault="00D94642" w:rsidP="00D94642">
      <w:pPr>
        <w:tabs>
          <w:tab w:val="left" w:pos="1440"/>
          <w:tab w:val="left" w:pos="2808"/>
        </w:tabs>
        <w:spacing w:after="0"/>
        <w:ind w:left="1440" w:hanging="1440"/>
        <w:textAlignment w:val="baseline"/>
        <w:rPr>
          <w:b/>
          <w:color w:val="000000"/>
        </w:rPr>
      </w:pPr>
      <w:r>
        <w:rPr>
          <w:b/>
          <w:color w:val="000000"/>
        </w:rPr>
        <w:tab/>
      </w:r>
      <w:r w:rsidR="005477A2">
        <w:rPr>
          <w:b/>
          <w:color w:val="000000"/>
        </w:rPr>
        <w:t xml:space="preserve">The 150 Sargent Drive location has not flooded in the past ten (10) years.  Although there were two </w:t>
      </w:r>
      <w:r w:rsidR="00DA3169">
        <w:rPr>
          <w:b/>
          <w:color w:val="000000"/>
        </w:rPr>
        <w:t>significant</w:t>
      </w:r>
      <w:r w:rsidR="005477A2">
        <w:rPr>
          <w:b/>
          <w:color w:val="000000"/>
        </w:rPr>
        <w:t xml:space="preserve"> storms during that period – </w:t>
      </w:r>
      <w:r w:rsidR="00DA3169">
        <w:rPr>
          <w:b/>
          <w:color w:val="000000"/>
        </w:rPr>
        <w:t>Tropical Storm Irene (2011) and Superstorm Sandy (2012)</w:t>
      </w:r>
      <w:r w:rsidR="005477A2">
        <w:rPr>
          <w:b/>
          <w:color w:val="000000"/>
        </w:rPr>
        <w:t xml:space="preserve"> – each of which affected the Long Wharf Harbor area, </w:t>
      </w:r>
      <w:r w:rsidR="004C7AD2">
        <w:rPr>
          <w:b/>
          <w:color w:val="000000"/>
        </w:rPr>
        <w:t xml:space="preserve">the site was unaffected by </w:t>
      </w:r>
      <w:r w:rsidR="00D82BFD" w:rsidRPr="00D82BFD">
        <w:rPr>
          <w:b/>
          <w:color w:val="000000"/>
        </w:rPr>
        <w:t xml:space="preserve">flood waters </w:t>
      </w:r>
      <w:r w:rsidR="004C7AD2">
        <w:rPr>
          <w:b/>
          <w:color w:val="000000"/>
        </w:rPr>
        <w:t xml:space="preserve">and </w:t>
      </w:r>
      <w:r w:rsidR="005477A2">
        <w:rPr>
          <w:b/>
          <w:color w:val="000000"/>
        </w:rPr>
        <w:t>access to the site</w:t>
      </w:r>
      <w:r w:rsidR="004C7AD2">
        <w:rPr>
          <w:b/>
          <w:color w:val="000000"/>
        </w:rPr>
        <w:t xml:space="preserve"> was maintained during both storm events</w:t>
      </w:r>
      <w:r w:rsidR="00D82BFD" w:rsidRPr="00D82BFD">
        <w:rPr>
          <w:b/>
          <w:color w:val="000000"/>
        </w:rPr>
        <w:t>.</w:t>
      </w:r>
    </w:p>
    <w:p w14:paraId="49166070" w14:textId="77777777" w:rsidR="00DA3169" w:rsidRDefault="00DA3169" w:rsidP="00D94642">
      <w:pPr>
        <w:tabs>
          <w:tab w:val="left" w:pos="1440"/>
          <w:tab w:val="left" w:pos="2808"/>
        </w:tabs>
        <w:spacing w:after="0"/>
        <w:ind w:left="1440" w:hanging="1440"/>
        <w:textAlignment w:val="baseline"/>
        <w:rPr>
          <w:b/>
          <w:color w:val="000000"/>
        </w:rPr>
      </w:pPr>
    </w:p>
    <w:p w14:paraId="64D0AE59" w14:textId="4B953122" w:rsidR="00D94642" w:rsidRPr="00D94642" w:rsidRDefault="00DA3169" w:rsidP="00D94642">
      <w:pPr>
        <w:tabs>
          <w:tab w:val="left" w:pos="1440"/>
          <w:tab w:val="left" w:pos="2808"/>
        </w:tabs>
        <w:spacing w:after="0"/>
        <w:ind w:left="1440" w:hanging="1440"/>
        <w:textAlignment w:val="baseline"/>
        <w:rPr>
          <w:b/>
          <w:color w:val="000000"/>
        </w:rPr>
      </w:pPr>
      <w:r>
        <w:rPr>
          <w:b/>
          <w:color w:val="000000"/>
        </w:rPr>
        <w:tab/>
      </w:r>
      <w:r w:rsidR="004D0933">
        <w:rPr>
          <w:b/>
          <w:color w:val="000000"/>
        </w:rPr>
        <w:t xml:space="preserve">There was no flooding during Tropical Storm Irene, which </w:t>
      </w:r>
      <w:r w:rsidR="00D94642" w:rsidRPr="00D94642">
        <w:rPr>
          <w:b/>
          <w:color w:val="000000"/>
        </w:rPr>
        <w:t xml:space="preserve">impacted the Connecticut coast on August 28, 2011. The storm produced damaging winds, coastal flooding and a storm surge that </w:t>
      </w:r>
      <w:r w:rsidR="004C573C">
        <w:rPr>
          <w:b/>
          <w:color w:val="000000"/>
        </w:rPr>
        <w:t>affected</w:t>
      </w:r>
      <w:r w:rsidR="004C573C" w:rsidRPr="00D94642">
        <w:rPr>
          <w:b/>
          <w:color w:val="000000"/>
        </w:rPr>
        <w:t xml:space="preserve"> </w:t>
      </w:r>
      <w:r w:rsidR="00D94642" w:rsidRPr="00D94642">
        <w:rPr>
          <w:b/>
          <w:color w:val="000000"/>
        </w:rPr>
        <w:t xml:space="preserve">portions of the Long Wharf area in New Haven. The peak storm surge in the area during </w:t>
      </w:r>
      <w:r w:rsidR="00465091">
        <w:rPr>
          <w:b/>
          <w:color w:val="000000"/>
        </w:rPr>
        <w:t xml:space="preserve">Tropical Storm </w:t>
      </w:r>
      <w:r w:rsidR="00D94642" w:rsidRPr="00D94642">
        <w:rPr>
          <w:b/>
          <w:color w:val="000000"/>
        </w:rPr>
        <w:t>Irene was recorded at Elevation 7.93 (NAVD 88) at the Sargent Drive/Long Wharf area.</w:t>
      </w:r>
      <w:r w:rsidR="00D94642">
        <w:rPr>
          <w:b/>
          <w:color w:val="000000"/>
        </w:rPr>
        <w:t xml:space="preserve">  The first floor elevation of 150 Sargent Drive is 11.86 (NAVD88), which is above the peak storm surge elevation of Tropical Storm Irene.</w:t>
      </w:r>
    </w:p>
    <w:p w14:paraId="34BD868B" w14:textId="77777777" w:rsidR="00D94642" w:rsidRPr="00D94642" w:rsidRDefault="00D94642" w:rsidP="00D94642">
      <w:pPr>
        <w:tabs>
          <w:tab w:val="left" w:pos="2808"/>
        </w:tabs>
        <w:spacing w:after="0"/>
        <w:ind w:left="2160"/>
        <w:textAlignment w:val="baseline"/>
        <w:rPr>
          <w:b/>
          <w:color w:val="000000"/>
        </w:rPr>
      </w:pPr>
    </w:p>
    <w:p w14:paraId="65DF3FC9" w14:textId="13EF731B" w:rsidR="00D94642" w:rsidRPr="00D94642" w:rsidRDefault="004D0933" w:rsidP="00D94642">
      <w:pPr>
        <w:tabs>
          <w:tab w:val="left" w:pos="1440"/>
          <w:tab w:val="left" w:pos="2808"/>
        </w:tabs>
        <w:spacing w:after="0"/>
        <w:ind w:left="1440"/>
        <w:textAlignment w:val="baseline"/>
        <w:rPr>
          <w:b/>
          <w:color w:val="000000"/>
        </w:rPr>
      </w:pPr>
      <w:r>
        <w:rPr>
          <w:b/>
          <w:color w:val="000000"/>
        </w:rPr>
        <w:t xml:space="preserve">There was also no flooding during </w:t>
      </w:r>
      <w:r w:rsidR="00D94642" w:rsidRPr="00D94642">
        <w:rPr>
          <w:b/>
          <w:color w:val="000000"/>
        </w:rPr>
        <w:t>Superstorm Sandy</w:t>
      </w:r>
      <w:r>
        <w:rPr>
          <w:b/>
          <w:color w:val="000000"/>
        </w:rPr>
        <w:t>, which</w:t>
      </w:r>
      <w:r w:rsidR="00D94642" w:rsidRPr="00D94642">
        <w:rPr>
          <w:b/>
          <w:color w:val="000000"/>
        </w:rPr>
        <w:t xml:space="preserve"> impacted the New Haven area on October 29 – 30, 2012. The storm brought a storm surge and coastal flooding that </w:t>
      </w:r>
      <w:r w:rsidR="004C573C">
        <w:rPr>
          <w:b/>
          <w:color w:val="000000"/>
        </w:rPr>
        <w:t>affected</w:t>
      </w:r>
      <w:r w:rsidR="004C573C" w:rsidRPr="00D94642">
        <w:rPr>
          <w:b/>
          <w:color w:val="000000"/>
        </w:rPr>
        <w:t xml:space="preserve"> </w:t>
      </w:r>
      <w:r w:rsidR="00D94642" w:rsidRPr="00D94642">
        <w:rPr>
          <w:b/>
          <w:color w:val="000000"/>
        </w:rPr>
        <w:t xml:space="preserve">major portions of the coastal New Haven area, including the 150 Sargent Drive </w:t>
      </w:r>
      <w:r w:rsidR="006D5B89">
        <w:rPr>
          <w:b/>
          <w:color w:val="000000"/>
        </w:rPr>
        <w:t>parking area</w:t>
      </w:r>
      <w:r w:rsidR="0080453D">
        <w:rPr>
          <w:b/>
          <w:color w:val="000000"/>
        </w:rPr>
        <w:t xml:space="preserve"> which experienced “ponding” (i.e., pooling of water in certain areas)</w:t>
      </w:r>
      <w:r w:rsidR="00D94642" w:rsidRPr="00D94642">
        <w:rPr>
          <w:b/>
          <w:color w:val="000000"/>
        </w:rPr>
        <w:t>.  The peak storm surge was recorded at Elevation</w:t>
      </w:r>
      <w:r w:rsidR="00D94642">
        <w:rPr>
          <w:b/>
          <w:color w:val="000000"/>
        </w:rPr>
        <w:t xml:space="preserve"> </w:t>
      </w:r>
      <w:r w:rsidR="00D94642" w:rsidRPr="00D94642">
        <w:rPr>
          <w:b/>
          <w:color w:val="000000"/>
        </w:rPr>
        <w:t>9.13 (NAVD 88) at New Haven Harbor.</w:t>
      </w:r>
      <w:r w:rsidR="00D94642">
        <w:rPr>
          <w:b/>
          <w:color w:val="000000"/>
        </w:rPr>
        <w:t xml:space="preserve">  The first floor elevation of 150 Sargent Drive is </w:t>
      </w:r>
      <w:r w:rsidR="00D94642">
        <w:rPr>
          <w:b/>
          <w:color w:val="000000"/>
        </w:rPr>
        <w:lastRenderedPageBreak/>
        <w:t>11.86 (NAVD88), which is above the peak storm surge elevation of Superstorm Sandy.</w:t>
      </w:r>
    </w:p>
    <w:p w14:paraId="409EF230" w14:textId="77777777" w:rsidR="00D94642" w:rsidRDefault="00D94642" w:rsidP="00D94642">
      <w:pPr>
        <w:tabs>
          <w:tab w:val="left" w:pos="2808"/>
        </w:tabs>
        <w:spacing w:after="0"/>
        <w:ind w:left="1440"/>
        <w:textAlignment w:val="baseline"/>
        <w:rPr>
          <w:b/>
          <w:color w:val="000000"/>
        </w:rPr>
      </w:pPr>
    </w:p>
    <w:p w14:paraId="2CBDF20E" w14:textId="0DD4DE0E" w:rsidR="00E57C09" w:rsidRDefault="00E57C09" w:rsidP="00D94642">
      <w:pPr>
        <w:tabs>
          <w:tab w:val="left" w:pos="2808"/>
        </w:tabs>
        <w:spacing w:after="0"/>
        <w:ind w:left="1440"/>
        <w:textAlignment w:val="baseline"/>
        <w:rPr>
          <w:b/>
          <w:color w:val="000000"/>
        </w:rPr>
      </w:pPr>
      <w:r>
        <w:rPr>
          <w:b/>
          <w:color w:val="000000"/>
        </w:rPr>
        <w:t>FEMA Elevation Certificates for the existing 150 Sargent Drive building are attached</w:t>
      </w:r>
      <w:r w:rsidR="00C409C1">
        <w:rPr>
          <w:b/>
          <w:color w:val="000000"/>
        </w:rPr>
        <w:t xml:space="preserve"> as Exhibit </w:t>
      </w:r>
      <w:r w:rsidR="009221D2">
        <w:rPr>
          <w:b/>
          <w:color w:val="000000"/>
        </w:rPr>
        <w:t>3</w:t>
      </w:r>
      <w:r>
        <w:rPr>
          <w:b/>
          <w:color w:val="000000"/>
        </w:rPr>
        <w:t>.</w:t>
      </w:r>
    </w:p>
    <w:p w14:paraId="0DFBDC07" w14:textId="77777777" w:rsidR="004C573C" w:rsidRDefault="004C573C" w:rsidP="00D94642">
      <w:pPr>
        <w:tabs>
          <w:tab w:val="left" w:pos="2808"/>
        </w:tabs>
        <w:spacing w:after="0"/>
        <w:ind w:left="1440"/>
        <w:textAlignment w:val="baseline"/>
        <w:rPr>
          <w:b/>
          <w:color w:val="000000"/>
        </w:rPr>
      </w:pPr>
    </w:p>
    <w:p w14:paraId="0D360545" w14:textId="77777777" w:rsidR="00D94642" w:rsidRPr="00D94642" w:rsidRDefault="00D94642" w:rsidP="00D94642">
      <w:pPr>
        <w:tabs>
          <w:tab w:val="left" w:pos="2808"/>
        </w:tabs>
        <w:spacing w:after="0"/>
        <w:ind w:left="1440"/>
        <w:textAlignment w:val="baseline"/>
        <w:rPr>
          <w:b/>
          <w:color w:val="000000"/>
        </w:rPr>
      </w:pPr>
    </w:p>
    <w:p w14:paraId="6C74F1CB" w14:textId="77777777" w:rsidR="00CA66F7" w:rsidRPr="00CA66F7" w:rsidRDefault="00CA66F7" w:rsidP="00C409C1">
      <w:pPr>
        <w:numPr>
          <w:ilvl w:val="0"/>
          <w:numId w:val="25"/>
        </w:numPr>
        <w:tabs>
          <w:tab w:val="left" w:pos="2808"/>
        </w:tabs>
        <w:spacing w:after="0"/>
        <w:ind w:left="2160" w:hanging="720"/>
        <w:textAlignment w:val="baseline"/>
        <w:rPr>
          <w:i/>
          <w:color w:val="000000"/>
        </w:rPr>
      </w:pPr>
      <w:r w:rsidRPr="00CA66F7">
        <w:rPr>
          <w:i/>
          <w:color w:val="000000"/>
        </w:rPr>
        <w:t xml:space="preserve">any </w:t>
      </w:r>
      <w:r w:rsidRPr="00CA66F7">
        <w:rPr>
          <w:color w:val="000000"/>
        </w:rPr>
        <w:t>flood-related damage to 150 Sargent Drive;</w:t>
      </w:r>
    </w:p>
    <w:p w14:paraId="5D6CEEC2" w14:textId="77777777" w:rsidR="00CA66F7" w:rsidRDefault="00CA66F7" w:rsidP="00C409C1">
      <w:pPr>
        <w:tabs>
          <w:tab w:val="left" w:pos="2808"/>
        </w:tabs>
        <w:spacing w:after="0"/>
        <w:ind w:left="2160"/>
        <w:textAlignment w:val="baseline"/>
        <w:rPr>
          <w:i/>
          <w:color w:val="000000"/>
        </w:rPr>
      </w:pPr>
    </w:p>
    <w:p w14:paraId="0B170969" w14:textId="07A9C4BA" w:rsidR="00D94642" w:rsidRDefault="004D0933" w:rsidP="00C409C1">
      <w:pPr>
        <w:tabs>
          <w:tab w:val="left" w:pos="2808"/>
        </w:tabs>
        <w:spacing w:after="0"/>
        <w:ind w:left="2160"/>
        <w:textAlignment w:val="baseline"/>
        <w:rPr>
          <w:b/>
          <w:color w:val="000000"/>
        </w:rPr>
      </w:pPr>
      <w:r>
        <w:rPr>
          <w:b/>
          <w:color w:val="000000"/>
        </w:rPr>
        <w:t xml:space="preserve">There have been no flood-related damages at 150 Sargent </w:t>
      </w:r>
      <w:r w:rsidR="00986F39">
        <w:rPr>
          <w:b/>
          <w:color w:val="000000"/>
        </w:rPr>
        <w:t>Drive</w:t>
      </w:r>
      <w:r>
        <w:rPr>
          <w:b/>
          <w:color w:val="000000"/>
        </w:rPr>
        <w:t xml:space="preserve">.  </w:t>
      </w:r>
      <w:r w:rsidR="00465091">
        <w:rPr>
          <w:b/>
          <w:color w:val="000000"/>
        </w:rPr>
        <w:t>As noted above, peak storm surges during Tropical Storm Irene and Superstorm Sandy were below the first floor elevation at 150 Sargent Drive</w:t>
      </w:r>
      <w:r>
        <w:rPr>
          <w:b/>
          <w:color w:val="000000"/>
        </w:rPr>
        <w:t>; a</w:t>
      </w:r>
      <w:r w:rsidR="00465091">
        <w:rPr>
          <w:b/>
          <w:color w:val="000000"/>
        </w:rPr>
        <w:t>ccordingly, there was no grade level flood damage to 150 Sargent Drive from either storm.</w:t>
      </w:r>
      <w:r w:rsidR="00125101">
        <w:rPr>
          <w:rStyle w:val="FootnoteReference"/>
          <w:b/>
          <w:color w:val="000000"/>
        </w:rPr>
        <w:footnoteReference w:id="1"/>
      </w:r>
      <w:r w:rsidR="00465091">
        <w:rPr>
          <w:b/>
          <w:color w:val="000000"/>
        </w:rPr>
        <w:t xml:space="preserve">  </w:t>
      </w:r>
      <w:r w:rsidR="00EA3779">
        <w:rPr>
          <w:b/>
          <w:color w:val="000000"/>
        </w:rPr>
        <w:t xml:space="preserve">  </w:t>
      </w:r>
    </w:p>
    <w:p w14:paraId="2D45F72C" w14:textId="77777777" w:rsidR="007A0356" w:rsidRPr="00605FF3" w:rsidRDefault="007A0356" w:rsidP="00C409C1">
      <w:pPr>
        <w:tabs>
          <w:tab w:val="left" w:pos="2808"/>
        </w:tabs>
        <w:spacing w:after="0"/>
        <w:ind w:left="2160"/>
        <w:textAlignment w:val="baseline"/>
        <w:rPr>
          <w:b/>
          <w:color w:val="000000"/>
        </w:rPr>
      </w:pPr>
    </w:p>
    <w:p w14:paraId="0DD0BEAA" w14:textId="77777777" w:rsidR="00CA66F7" w:rsidRPr="00605FF3" w:rsidRDefault="00CA66F7" w:rsidP="00C409C1">
      <w:pPr>
        <w:numPr>
          <w:ilvl w:val="0"/>
          <w:numId w:val="25"/>
        </w:numPr>
        <w:tabs>
          <w:tab w:val="left" w:pos="2160"/>
        </w:tabs>
        <w:spacing w:before="4" w:after="0"/>
        <w:ind w:left="2070" w:hanging="630"/>
        <w:textAlignment w:val="baseline"/>
        <w:rPr>
          <w:color w:val="000000"/>
        </w:rPr>
      </w:pPr>
      <w:r w:rsidRPr="00605FF3">
        <w:rPr>
          <w:color w:val="000000"/>
        </w:rPr>
        <w:t xml:space="preserve">the cost of remediation and repair(s) for the damage described in </w:t>
      </w:r>
      <w:proofErr w:type="spellStart"/>
      <w:r w:rsidRPr="00605FF3">
        <w:rPr>
          <w:color w:val="000000"/>
        </w:rPr>
        <w:t>i</w:t>
      </w:r>
      <w:proofErr w:type="spellEnd"/>
      <w:r w:rsidRPr="00605FF3">
        <w:rPr>
          <w:color w:val="000000"/>
        </w:rPr>
        <w:t xml:space="preserve"> above; and</w:t>
      </w:r>
    </w:p>
    <w:p w14:paraId="1C2F381B" w14:textId="77777777" w:rsidR="00D94642" w:rsidRPr="00605FF3" w:rsidRDefault="00D94642" w:rsidP="00C409C1">
      <w:pPr>
        <w:tabs>
          <w:tab w:val="left" w:pos="1440"/>
          <w:tab w:val="left" w:pos="2160"/>
        </w:tabs>
        <w:spacing w:before="4" w:after="0"/>
        <w:ind w:left="2070"/>
        <w:textAlignment w:val="baseline"/>
        <w:rPr>
          <w:color w:val="000000"/>
        </w:rPr>
      </w:pPr>
    </w:p>
    <w:p w14:paraId="5A882E10" w14:textId="19FA5474" w:rsidR="00D94642" w:rsidRPr="00D94642" w:rsidRDefault="003C4546" w:rsidP="00C409C1">
      <w:pPr>
        <w:tabs>
          <w:tab w:val="left" w:pos="1440"/>
          <w:tab w:val="left" w:pos="2160"/>
        </w:tabs>
        <w:spacing w:before="4" w:after="0"/>
        <w:ind w:left="2070"/>
        <w:textAlignment w:val="baseline"/>
        <w:rPr>
          <w:b/>
          <w:color w:val="000000"/>
        </w:rPr>
      </w:pPr>
      <w:r>
        <w:rPr>
          <w:b/>
          <w:color w:val="000000"/>
        </w:rPr>
        <w:t>N</w:t>
      </w:r>
      <w:r w:rsidRPr="00605FF3">
        <w:rPr>
          <w:b/>
          <w:color w:val="000000"/>
        </w:rPr>
        <w:t xml:space="preserve">o </w:t>
      </w:r>
      <w:r>
        <w:rPr>
          <w:b/>
          <w:color w:val="000000"/>
        </w:rPr>
        <w:t xml:space="preserve">remediation or </w:t>
      </w:r>
      <w:r w:rsidR="00D94642" w:rsidRPr="00605FF3">
        <w:rPr>
          <w:b/>
          <w:color w:val="000000"/>
        </w:rPr>
        <w:t>repair</w:t>
      </w:r>
      <w:r>
        <w:rPr>
          <w:b/>
          <w:color w:val="000000"/>
        </w:rPr>
        <w:t>s</w:t>
      </w:r>
      <w:r w:rsidR="00D94642" w:rsidRPr="00605FF3">
        <w:rPr>
          <w:b/>
          <w:color w:val="000000"/>
        </w:rPr>
        <w:t xml:space="preserve"> </w:t>
      </w:r>
      <w:r>
        <w:rPr>
          <w:b/>
          <w:color w:val="000000"/>
        </w:rPr>
        <w:t xml:space="preserve">were </w:t>
      </w:r>
      <w:r w:rsidR="00D94642" w:rsidRPr="00605FF3">
        <w:rPr>
          <w:b/>
          <w:color w:val="000000"/>
        </w:rPr>
        <w:t>necessary</w:t>
      </w:r>
      <w:r>
        <w:rPr>
          <w:b/>
          <w:color w:val="000000"/>
        </w:rPr>
        <w:t>, as floodwaters did not enter the building, therefore no cost was incurred</w:t>
      </w:r>
      <w:r w:rsidR="00125101">
        <w:rPr>
          <w:b/>
          <w:color w:val="000000"/>
        </w:rPr>
        <w:t>.</w:t>
      </w:r>
    </w:p>
    <w:p w14:paraId="355BF5E1" w14:textId="77777777" w:rsidR="00CA66F7" w:rsidRPr="00CA66F7" w:rsidRDefault="00CA66F7" w:rsidP="00C409C1">
      <w:pPr>
        <w:tabs>
          <w:tab w:val="left" w:pos="1440"/>
          <w:tab w:val="left" w:pos="2160"/>
        </w:tabs>
        <w:spacing w:before="4" w:after="0"/>
        <w:ind w:left="2070"/>
        <w:textAlignment w:val="baseline"/>
        <w:rPr>
          <w:color w:val="000000"/>
        </w:rPr>
      </w:pPr>
    </w:p>
    <w:p w14:paraId="23F478F4" w14:textId="77777777" w:rsidR="00CA66F7" w:rsidRDefault="00CA66F7" w:rsidP="00986F39">
      <w:pPr>
        <w:numPr>
          <w:ilvl w:val="0"/>
          <w:numId w:val="25"/>
        </w:numPr>
        <w:tabs>
          <w:tab w:val="left" w:pos="2160"/>
        </w:tabs>
        <w:spacing w:before="4" w:after="0"/>
        <w:ind w:left="2070" w:hanging="630"/>
        <w:textAlignment w:val="baseline"/>
        <w:rPr>
          <w:color w:val="000000"/>
        </w:rPr>
      </w:pPr>
      <w:proofErr w:type="gramStart"/>
      <w:r w:rsidRPr="00CA66F7">
        <w:rPr>
          <w:color w:val="000000"/>
        </w:rPr>
        <w:t>whether</w:t>
      </w:r>
      <w:proofErr w:type="gramEnd"/>
      <w:r w:rsidRPr="00CA66F7">
        <w:rPr>
          <w:color w:val="000000"/>
        </w:rPr>
        <w:t xml:space="preserve"> there were service disruptions and if so, the duration of those disruptions.</w:t>
      </w:r>
    </w:p>
    <w:p w14:paraId="74D0F5AA" w14:textId="77777777" w:rsidR="00D94642" w:rsidRDefault="00D94642" w:rsidP="00C409C1">
      <w:pPr>
        <w:tabs>
          <w:tab w:val="left" w:pos="2160"/>
          <w:tab w:val="left" w:pos="2808"/>
        </w:tabs>
        <w:spacing w:after="0"/>
        <w:ind w:left="2160"/>
        <w:textAlignment w:val="baseline"/>
        <w:rPr>
          <w:color w:val="000000"/>
        </w:rPr>
      </w:pPr>
    </w:p>
    <w:p w14:paraId="233EC01C" w14:textId="3730EA97" w:rsidR="005477A2" w:rsidRDefault="005477A2" w:rsidP="00986F39">
      <w:pPr>
        <w:tabs>
          <w:tab w:val="left" w:pos="1440"/>
          <w:tab w:val="left" w:pos="2160"/>
        </w:tabs>
        <w:spacing w:before="4" w:after="0"/>
        <w:ind w:left="2070"/>
        <w:textAlignment w:val="baseline"/>
        <w:rPr>
          <w:b/>
          <w:color w:val="000000"/>
        </w:rPr>
      </w:pPr>
      <w:r>
        <w:rPr>
          <w:b/>
        </w:rPr>
        <w:t xml:space="preserve">During the last ten (10) years, YNHH has never had to close the site, </w:t>
      </w:r>
      <w:r w:rsidRPr="00986F39">
        <w:rPr>
          <w:b/>
          <w:color w:val="000000"/>
        </w:rPr>
        <w:t>nor</w:t>
      </w:r>
      <w:r>
        <w:rPr>
          <w:b/>
        </w:rPr>
        <w:t xml:space="preserve"> were there any service disruptions due to flooding. </w:t>
      </w:r>
    </w:p>
    <w:p w14:paraId="395CC651" w14:textId="77777777" w:rsidR="005477A2" w:rsidRDefault="005477A2" w:rsidP="00C409C1">
      <w:pPr>
        <w:tabs>
          <w:tab w:val="left" w:pos="2160"/>
          <w:tab w:val="left" w:pos="2808"/>
        </w:tabs>
        <w:spacing w:after="0"/>
        <w:ind w:left="2160"/>
        <w:textAlignment w:val="baseline"/>
        <w:rPr>
          <w:b/>
          <w:color w:val="000000"/>
        </w:rPr>
      </w:pPr>
    </w:p>
    <w:p w14:paraId="0F6D7079" w14:textId="772146B0" w:rsidR="00D94642" w:rsidRDefault="00465091" w:rsidP="00986F39">
      <w:pPr>
        <w:tabs>
          <w:tab w:val="left" w:pos="1440"/>
          <w:tab w:val="left" w:pos="2160"/>
        </w:tabs>
        <w:spacing w:before="4" w:after="0"/>
        <w:ind w:left="2070"/>
        <w:textAlignment w:val="baseline"/>
        <w:rPr>
          <w:b/>
        </w:rPr>
      </w:pPr>
      <w:r>
        <w:rPr>
          <w:b/>
          <w:color w:val="000000"/>
        </w:rPr>
        <w:t xml:space="preserve">During each of the significant storms (Irene and Sandy), the parking lot at 150 Sargent Drive experienced </w:t>
      </w:r>
      <w:r w:rsidR="0080453D">
        <w:rPr>
          <w:b/>
          <w:color w:val="000000"/>
        </w:rPr>
        <w:t xml:space="preserve">some ponding but not to an extent that </w:t>
      </w:r>
      <w:r w:rsidR="00D82BFD">
        <w:rPr>
          <w:b/>
          <w:color w:val="000000"/>
        </w:rPr>
        <w:t xml:space="preserve">the site could not be </w:t>
      </w:r>
      <w:r w:rsidR="0080453D">
        <w:rPr>
          <w:b/>
          <w:color w:val="000000"/>
        </w:rPr>
        <w:t>access</w:t>
      </w:r>
      <w:r w:rsidR="00D82BFD">
        <w:rPr>
          <w:b/>
          <w:color w:val="000000"/>
        </w:rPr>
        <w:t>ed</w:t>
      </w:r>
      <w:r>
        <w:rPr>
          <w:b/>
          <w:color w:val="000000"/>
        </w:rPr>
        <w:t xml:space="preserve">.  During Superstorm Sandy, some </w:t>
      </w:r>
      <w:r w:rsidR="00D94642">
        <w:rPr>
          <w:b/>
          <w:color w:val="000000"/>
        </w:rPr>
        <w:t>adjacent roadways were flooded</w:t>
      </w:r>
      <w:r w:rsidR="00080812">
        <w:rPr>
          <w:b/>
          <w:color w:val="000000"/>
        </w:rPr>
        <w:t>; h</w:t>
      </w:r>
      <w:r w:rsidR="0080453D">
        <w:rPr>
          <w:b/>
        </w:rPr>
        <w:t>owever, b</w:t>
      </w:r>
      <w:r>
        <w:rPr>
          <w:b/>
        </w:rPr>
        <w:t xml:space="preserve">ecause the site has multiple access points (it can be accessed from Sargent Drive </w:t>
      </w:r>
      <w:r w:rsidR="00D82BFD">
        <w:rPr>
          <w:b/>
        </w:rPr>
        <w:t xml:space="preserve">and </w:t>
      </w:r>
      <w:r>
        <w:rPr>
          <w:b/>
        </w:rPr>
        <w:t>also from Church Street)</w:t>
      </w:r>
      <w:r w:rsidR="00DA7D88">
        <w:rPr>
          <w:b/>
        </w:rPr>
        <w:t xml:space="preserve">, access was still available from the </w:t>
      </w:r>
      <w:r w:rsidR="00D82BFD">
        <w:rPr>
          <w:b/>
        </w:rPr>
        <w:t xml:space="preserve">north </w:t>
      </w:r>
      <w:r w:rsidR="00DA7D88">
        <w:rPr>
          <w:b/>
        </w:rPr>
        <w:t xml:space="preserve">and </w:t>
      </w:r>
      <w:r w:rsidR="00D82BFD">
        <w:rPr>
          <w:b/>
        </w:rPr>
        <w:t xml:space="preserve">northwest </w:t>
      </w:r>
      <w:r w:rsidR="00DA7D88">
        <w:rPr>
          <w:b/>
        </w:rPr>
        <w:t>(via Union Avenue and Church Street)</w:t>
      </w:r>
      <w:r w:rsidR="00C409C1">
        <w:rPr>
          <w:b/>
        </w:rPr>
        <w:t>.</w:t>
      </w:r>
      <w:r w:rsidR="00DA7D88">
        <w:rPr>
          <w:b/>
        </w:rPr>
        <w:t xml:space="preserve"> </w:t>
      </w:r>
    </w:p>
    <w:p w14:paraId="58512610" w14:textId="5F4D38E6" w:rsidR="00DA7D88" w:rsidRDefault="00DA7D88" w:rsidP="008B0761">
      <w:pPr>
        <w:tabs>
          <w:tab w:val="left" w:pos="2160"/>
          <w:tab w:val="left" w:pos="2808"/>
        </w:tabs>
        <w:spacing w:after="0"/>
        <w:textAlignment w:val="baseline"/>
        <w:rPr>
          <w:b/>
          <w:color w:val="000000"/>
        </w:rPr>
      </w:pPr>
    </w:p>
    <w:p w14:paraId="74809337" w14:textId="77777777" w:rsidR="00D94642" w:rsidRDefault="00D94642" w:rsidP="00C409C1">
      <w:pPr>
        <w:tabs>
          <w:tab w:val="left" w:pos="2160"/>
          <w:tab w:val="left" w:pos="2808"/>
        </w:tabs>
        <w:spacing w:after="0"/>
        <w:textAlignment w:val="baseline"/>
        <w:rPr>
          <w:color w:val="000000"/>
        </w:rPr>
      </w:pPr>
    </w:p>
    <w:p w14:paraId="039CAD34" w14:textId="77777777" w:rsidR="00D94642" w:rsidRPr="00D94642" w:rsidRDefault="00605FF3" w:rsidP="00C409C1">
      <w:pPr>
        <w:tabs>
          <w:tab w:val="left" w:pos="720"/>
        </w:tabs>
        <w:ind w:left="1440" w:hanging="1440"/>
        <w:textAlignment w:val="baseline"/>
        <w:rPr>
          <w:color w:val="000000"/>
        </w:rPr>
      </w:pPr>
      <w:r>
        <w:rPr>
          <w:color w:val="000000"/>
        </w:rPr>
        <w:tab/>
      </w:r>
      <w:r w:rsidR="00D94642" w:rsidRPr="00D94642">
        <w:rPr>
          <w:color w:val="000000"/>
        </w:rPr>
        <w:t>b.</w:t>
      </w:r>
      <w:r w:rsidR="00D94642">
        <w:rPr>
          <w:color w:val="000000"/>
        </w:rPr>
        <w:tab/>
      </w:r>
      <w:r w:rsidR="00D94642" w:rsidRPr="00D94642">
        <w:rPr>
          <w:color w:val="000000"/>
        </w:rPr>
        <w:t xml:space="preserve">A copy of the 2018 report issued by </w:t>
      </w:r>
      <w:proofErr w:type="spellStart"/>
      <w:r w:rsidR="00D94642" w:rsidRPr="00D94642">
        <w:rPr>
          <w:color w:val="000000"/>
        </w:rPr>
        <w:t>Tighe</w:t>
      </w:r>
      <w:proofErr w:type="spellEnd"/>
      <w:r w:rsidR="00D94642" w:rsidRPr="00D94642">
        <w:rPr>
          <w:color w:val="000000"/>
        </w:rPr>
        <w:t xml:space="preserve"> and Bond regarding flood vulnerability at this location.</w:t>
      </w:r>
    </w:p>
    <w:p w14:paraId="2CAD600F" w14:textId="16F3BA2D" w:rsidR="00D94642" w:rsidRDefault="00D94642" w:rsidP="00C409C1">
      <w:pPr>
        <w:tabs>
          <w:tab w:val="left" w:pos="720"/>
          <w:tab w:val="left" w:pos="1440"/>
          <w:tab w:val="left" w:pos="2160"/>
          <w:tab w:val="left" w:pos="2808"/>
        </w:tabs>
        <w:spacing w:after="0"/>
        <w:textAlignment w:val="baseline"/>
        <w:rPr>
          <w:b/>
          <w:color w:val="000000"/>
        </w:rPr>
      </w:pPr>
      <w:r>
        <w:rPr>
          <w:color w:val="000000"/>
        </w:rPr>
        <w:tab/>
      </w:r>
      <w:r w:rsidR="00605FF3">
        <w:rPr>
          <w:color w:val="000000"/>
        </w:rPr>
        <w:tab/>
      </w:r>
      <w:r>
        <w:rPr>
          <w:b/>
          <w:color w:val="000000"/>
        </w:rPr>
        <w:t>A copy</w:t>
      </w:r>
      <w:r w:rsidR="00C36DF3">
        <w:rPr>
          <w:b/>
          <w:color w:val="000000"/>
        </w:rPr>
        <w:t xml:space="preserve"> of the October 25, 2018 report is attached</w:t>
      </w:r>
      <w:r w:rsidR="00C409C1">
        <w:rPr>
          <w:b/>
          <w:color w:val="000000"/>
        </w:rPr>
        <w:t xml:space="preserve"> as Exhibit </w:t>
      </w:r>
      <w:r w:rsidR="009221D2">
        <w:rPr>
          <w:b/>
          <w:color w:val="000000"/>
        </w:rPr>
        <w:t>2</w:t>
      </w:r>
      <w:r w:rsidR="00C36DF3">
        <w:rPr>
          <w:b/>
          <w:color w:val="000000"/>
        </w:rPr>
        <w:t>.</w:t>
      </w:r>
    </w:p>
    <w:p w14:paraId="124AF3D2" w14:textId="77777777" w:rsidR="00C36DF3" w:rsidRDefault="00C36DF3" w:rsidP="00C409C1">
      <w:pPr>
        <w:tabs>
          <w:tab w:val="left" w:pos="720"/>
          <w:tab w:val="left" w:pos="2160"/>
          <w:tab w:val="left" w:pos="2808"/>
        </w:tabs>
        <w:spacing w:after="0"/>
        <w:textAlignment w:val="baseline"/>
        <w:rPr>
          <w:color w:val="000000"/>
        </w:rPr>
      </w:pPr>
    </w:p>
    <w:p w14:paraId="607886FE" w14:textId="77777777" w:rsidR="00314BEC" w:rsidRDefault="00605FF3" w:rsidP="00C409C1">
      <w:pPr>
        <w:tabs>
          <w:tab w:val="left" w:pos="720"/>
          <w:tab w:val="left" w:pos="1440"/>
          <w:tab w:val="left" w:pos="2160"/>
          <w:tab w:val="left" w:pos="2808"/>
        </w:tabs>
        <w:spacing w:after="0"/>
        <w:ind w:left="1440" w:hanging="1440"/>
        <w:textAlignment w:val="baseline"/>
        <w:rPr>
          <w:color w:val="000000"/>
        </w:rPr>
      </w:pPr>
      <w:r>
        <w:rPr>
          <w:color w:val="000000"/>
        </w:rPr>
        <w:tab/>
      </w:r>
      <w:r w:rsidR="00314BEC" w:rsidRPr="00314BEC">
        <w:rPr>
          <w:color w:val="000000"/>
        </w:rPr>
        <w:t>c.</w:t>
      </w:r>
      <w:r w:rsidR="00314BEC" w:rsidRPr="00314BEC">
        <w:rPr>
          <w:color w:val="000000"/>
        </w:rPr>
        <w:tab/>
        <w:t>Documentation regarding discussions with the State Department of Energy and Environmental Protection and the City of New Haven regarding:</w:t>
      </w:r>
    </w:p>
    <w:p w14:paraId="0ADFB7F6" w14:textId="77777777" w:rsidR="00314BEC" w:rsidRPr="00314BEC" w:rsidRDefault="00314BEC" w:rsidP="00C409C1">
      <w:pPr>
        <w:tabs>
          <w:tab w:val="left" w:pos="720"/>
          <w:tab w:val="left" w:pos="2160"/>
          <w:tab w:val="left" w:pos="2808"/>
        </w:tabs>
        <w:spacing w:after="0"/>
        <w:ind w:left="720" w:hanging="720"/>
        <w:textAlignment w:val="baseline"/>
        <w:rPr>
          <w:color w:val="000000"/>
        </w:rPr>
      </w:pPr>
    </w:p>
    <w:p w14:paraId="43A10B3E" w14:textId="77777777" w:rsidR="00314BEC" w:rsidRPr="00314BEC" w:rsidRDefault="00314BEC" w:rsidP="00C409C1">
      <w:pPr>
        <w:pStyle w:val="ListParagraph"/>
        <w:numPr>
          <w:ilvl w:val="0"/>
          <w:numId w:val="25"/>
        </w:numPr>
        <w:tabs>
          <w:tab w:val="clear" w:pos="1440"/>
          <w:tab w:val="left" w:pos="2160"/>
          <w:tab w:val="left" w:pos="2808"/>
        </w:tabs>
        <w:spacing w:after="0"/>
        <w:ind w:left="2160" w:hanging="720"/>
        <w:textAlignment w:val="baseline"/>
        <w:rPr>
          <w:color w:val="000000"/>
        </w:rPr>
      </w:pPr>
      <w:r w:rsidRPr="00314BEC">
        <w:rPr>
          <w:color w:val="000000"/>
        </w:rPr>
        <w:t>any recommended and/or actual changes regarding the implementation of the proposal since the filing of the CON application;</w:t>
      </w:r>
    </w:p>
    <w:p w14:paraId="1439302E" w14:textId="77777777" w:rsidR="00314BEC" w:rsidRDefault="00314BEC" w:rsidP="00C409C1">
      <w:pPr>
        <w:pStyle w:val="ListParagraph"/>
        <w:tabs>
          <w:tab w:val="left" w:pos="720"/>
          <w:tab w:val="left" w:pos="1440"/>
          <w:tab w:val="left" w:pos="2160"/>
          <w:tab w:val="left" w:pos="2808"/>
        </w:tabs>
        <w:spacing w:after="0"/>
        <w:textAlignment w:val="baseline"/>
        <w:rPr>
          <w:color w:val="000000"/>
        </w:rPr>
      </w:pPr>
    </w:p>
    <w:p w14:paraId="70FA0257" w14:textId="33E145D2" w:rsidR="00314BEC" w:rsidRDefault="00314BEC" w:rsidP="00C409C1">
      <w:pPr>
        <w:pStyle w:val="ListParagraph"/>
        <w:tabs>
          <w:tab w:val="left" w:pos="720"/>
          <w:tab w:val="left" w:pos="1440"/>
          <w:tab w:val="left" w:pos="2160"/>
          <w:tab w:val="left" w:pos="2808"/>
        </w:tabs>
        <w:spacing w:after="0"/>
        <w:ind w:left="2160"/>
        <w:textAlignment w:val="baseline"/>
        <w:rPr>
          <w:b/>
          <w:color w:val="000000"/>
        </w:rPr>
      </w:pPr>
      <w:r>
        <w:rPr>
          <w:b/>
          <w:color w:val="000000"/>
        </w:rPr>
        <w:t xml:space="preserve">Please see attached </w:t>
      </w:r>
      <w:r w:rsidR="00C409C1">
        <w:rPr>
          <w:b/>
          <w:color w:val="000000"/>
        </w:rPr>
        <w:t xml:space="preserve">Exhibit </w:t>
      </w:r>
      <w:r w:rsidR="009221D2">
        <w:rPr>
          <w:b/>
          <w:color w:val="000000"/>
        </w:rPr>
        <w:t>4</w:t>
      </w:r>
      <w:r w:rsidR="00C409C1">
        <w:rPr>
          <w:b/>
          <w:color w:val="000000"/>
        </w:rPr>
        <w:t xml:space="preserve"> </w:t>
      </w:r>
      <w:r>
        <w:rPr>
          <w:b/>
          <w:color w:val="000000"/>
        </w:rPr>
        <w:t xml:space="preserve">for </w:t>
      </w:r>
      <w:r w:rsidR="00D71DF0">
        <w:rPr>
          <w:b/>
          <w:color w:val="000000"/>
        </w:rPr>
        <w:t xml:space="preserve">series of e-mails between </w:t>
      </w:r>
      <w:proofErr w:type="spellStart"/>
      <w:r w:rsidR="00D71DF0">
        <w:rPr>
          <w:b/>
          <w:color w:val="000000"/>
        </w:rPr>
        <w:t>Tighe</w:t>
      </w:r>
      <w:proofErr w:type="spellEnd"/>
      <w:r w:rsidR="00D71DF0">
        <w:rPr>
          <w:b/>
          <w:color w:val="000000"/>
        </w:rPr>
        <w:t xml:space="preserve"> &amp; Bond and Diane </w:t>
      </w:r>
      <w:proofErr w:type="spellStart"/>
      <w:r w:rsidR="00D71DF0">
        <w:rPr>
          <w:b/>
          <w:color w:val="000000"/>
        </w:rPr>
        <w:t>Ifkovic</w:t>
      </w:r>
      <w:proofErr w:type="spellEnd"/>
      <w:r w:rsidR="00D71DF0">
        <w:rPr>
          <w:b/>
          <w:color w:val="000000"/>
        </w:rPr>
        <w:t xml:space="preserve"> of </w:t>
      </w:r>
      <w:r w:rsidR="00C60A19">
        <w:rPr>
          <w:b/>
          <w:color w:val="000000"/>
        </w:rPr>
        <w:t>Connecticut DEEP</w:t>
      </w:r>
      <w:r w:rsidR="00D71DF0">
        <w:rPr>
          <w:b/>
          <w:color w:val="000000"/>
        </w:rPr>
        <w:t>, who is the State National Flood Insurance coordinator</w:t>
      </w:r>
      <w:r w:rsidR="00EA546D">
        <w:rPr>
          <w:b/>
          <w:color w:val="000000"/>
        </w:rPr>
        <w:t>,</w:t>
      </w:r>
      <w:r w:rsidR="00D71DF0">
        <w:rPr>
          <w:b/>
          <w:color w:val="000000"/>
        </w:rPr>
        <w:t xml:space="preserve"> regarding the type of Special Flood Hazard Area the building is in.  </w:t>
      </w:r>
      <w:r w:rsidR="00C60A19">
        <w:rPr>
          <w:b/>
          <w:color w:val="000000"/>
        </w:rPr>
        <w:t xml:space="preserve">As noted above, there was some initial </w:t>
      </w:r>
      <w:r w:rsidR="00D03F60">
        <w:rPr>
          <w:b/>
          <w:color w:val="000000"/>
        </w:rPr>
        <w:t xml:space="preserve">misunderstanding </w:t>
      </w:r>
      <w:r w:rsidR="00C60A19">
        <w:rPr>
          <w:b/>
          <w:color w:val="000000"/>
        </w:rPr>
        <w:t xml:space="preserve">over the flood zone status of the site.  Ms. </w:t>
      </w:r>
      <w:proofErr w:type="spellStart"/>
      <w:r w:rsidR="00C60A19">
        <w:rPr>
          <w:b/>
          <w:color w:val="000000"/>
        </w:rPr>
        <w:t>Ifkovic</w:t>
      </w:r>
      <w:proofErr w:type="spellEnd"/>
      <w:r w:rsidR="00C60A19">
        <w:rPr>
          <w:b/>
          <w:color w:val="000000"/>
        </w:rPr>
        <w:t xml:space="preserve"> confirmed</w:t>
      </w:r>
      <w:r w:rsidR="00D71DF0">
        <w:rPr>
          <w:b/>
          <w:color w:val="000000"/>
        </w:rPr>
        <w:t xml:space="preserve"> that the building is not in a coastal high hazard zone as determined by the NFIP Regulations in 44 CFR 60.3, and is not required to comply with the coastal high hazard zone provisions of the building code.</w:t>
      </w:r>
      <w:r w:rsidR="00C60A19">
        <w:rPr>
          <w:b/>
          <w:color w:val="000000"/>
        </w:rPr>
        <w:t xml:space="preserve">  The City acknowledged this finding </w:t>
      </w:r>
      <w:r w:rsidR="00D82BFD">
        <w:rPr>
          <w:b/>
          <w:color w:val="000000"/>
        </w:rPr>
        <w:t xml:space="preserve">at a meeting with YNHH on February 26, 2019, and issued </w:t>
      </w:r>
      <w:r w:rsidR="00C60A19">
        <w:rPr>
          <w:b/>
          <w:color w:val="000000"/>
        </w:rPr>
        <w:t xml:space="preserve">a permit for the first floor renovations on </w:t>
      </w:r>
      <w:r w:rsidR="00D82BFD">
        <w:rPr>
          <w:b/>
          <w:color w:val="000000"/>
        </w:rPr>
        <w:t>March 7</w:t>
      </w:r>
      <w:r w:rsidR="00C60A19">
        <w:rPr>
          <w:b/>
          <w:color w:val="000000"/>
        </w:rPr>
        <w:t>, 2019</w:t>
      </w:r>
      <w:r w:rsidR="0080453D">
        <w:rPr>
          <w:b/>
          <w:color w:val="000000"/>
        </w:rPr>
        <w:t xml:space="preserve"> (see Exhibit </w:t>
      </w:r>
      <w:r w:rsidR="009E38E3">
        <w:rPr>
          <w:b/>
          <w:color w:val="000000"/>
        </w:rPr>
        <w:t>5</w:t>
      </w:r>
      <w:r w:rsidR="00C409C1">
        <w:rPr>
          <w:b/>
          <w:color w:val="000000"/>
        </w:rPr>
        <w:t>)</w:t>
      </w:r>
      <w:r w:rsidR="00C60A19">
        <w:rPr>
          <w:b/>
          <w:color w:val="000000"/>
        </w:rPr>
        <w:t>.</w:t>
      </w:r>
    </w:p>
    <w:p w14:paraId="4238B532" w14:textId="77777777" w:rsidR="00D71DF0" w:rsidRDefault="00D71DF0" w:rsidP="00C409C1">
      <w:pPr>
        <w:pStyle w:val="ListParagraph"/>
        <w:tabs>
          <w:tab w:val="left" w:pos="720"/>
          <w:tab w:val="left" w:pos="1440"/>
          <w:tab w:val="left" w:pos="2160"/>
          <w:tab w:val="left" w:pos="2808"/>
        </w:tabs>
        <w:spacing w:after="0"/>
        <w:ind w:left="1440"/>
        <w:textAlignment w:val="baseline"/>
        <w:rPr>
          <w:b/>
          <w:color w:val="000000"/>
        </w:rPr>
      </w:pPr>
    </w:p>
    <w:p w14:paraId="148C2718" w14:textId="530735E9" w:rsidR="00D71DF0" w:rsidRPr="00314BEC" w:rsidRDefault="00C60A19" w:rsidP="00C409C1">
      <w:pPr>
        <w:pStyle w:val="ListParagraph"/>
        <w:tabs>
          <w:tab w:val="left" w:pos="720"/>
          <w:tab w:val="left" w:pos="1440"/>
          <w:tab w:val="left" w:pos="2160"/>
          <w:tab w:val="left" w:pos="2808"/>
        </w:tabs>
        <w:spacing w:after="0"/>
        <w:ind w:left="2160"/>
        <w:textAlignment w:val="baseline"/>
        <w:rPr>
          <w:b/>
          <w:color w:val="000000"/>
        </w:rPr>
      </w:pPr>
      <w:r>
        <w:rPr>
          <w:b/>
          <w:color w:val="000000"/>
        </w:rPr>
        <w:t xml:space="preserve">Based on the review by </w:t>
      </w:r>
      <w:proofErr w:type="spellStart"/>
      <w:r>
        <w:rPr>
          <w:b/>
          <w:color w:val="000000"/>
        </w:rPr>
        <w:t>Tighe</w:t>
      </w:r>
      <w:proofErr w:type="spellEnd"/>
      <w:r>
        <w:rPr>
          <w:b/>
          <w:color w:val="000000"/>
        </w:rPr>
        <w:t xml:space="preserve"> &amp; Bond and the subsequent discussions with Connecticut DEEP and the City of New Haven, the scope of required flood-proofing of the site has been confirmed.  YNHH has engaged an architect to implement appropriate flood-proofing,</w:t>
      </w:r>
      <w:r w:rsidR="00DF446A">
        <w:rPr>
          <w:b/>
          <w:color w:val="000000"/>
        </w:rPr>
        <w:t xml:space="preserve"> which will include </w:t>
      </w:r>
      <w:r w:rsidR="005B5BF7">
        <w:rPr>
          <w:b/>
          <w:color w:val="000000"/>
        </w:rPr>
        <w:t>installation of a fluid-applied waterproofing membrane</w:t>
      </w:r>
      <w:r w:rsidR="00DF446A">
        <w:rPr>
          <w:b/>
          <w:color w:val="000000"/>
        </w:rPr>
        <w:t xml:space="preserve"> to an elevation of </w:t>
      </w:r>
      <w:r w:rsidR="005B5BF7">
        <w:rPr>
          <w:b/>
          <w:color w:val="000000"/>
        </w:rPr>
        <w:t>13.86</w:t>
      </w:r>
      <w:r w:rsidR="00DF446A">
        <w:rPr>
          <w:b/>
          <w:color w:val="000000"/>
        </w:rPr>
        <w:t xml:space="preserve"> NAVD88, which is in excess of the required flood-proofing to 12 NAVD88</w:t>
      </w:r>
      <w:r w:rsidR="005B5BF7">
        <w:rPr>
          <w:b/>
          <w:color w:val="000000"/>
        </w:rPr>
        <w:t>, as well as installation of flood barrier doors, elevation of the entrance vestibule floor, and installation of insulated flood vents</w:t>
      </w:r>
      <w:r w:rsidR="00DF446A">
        <w:rPr>
          <w:b/>
          <w:color w:val="000000"/>
        </w:rPr>
        <w:t xml:space="preserve">. </w:t>
      </w:r>
    </w:p>
    <w:p w14:paraId="5FC474B8" w14:textId="77777777" w:rsidR="00314BEC" w:rsidRPr="00314BEC" w:rsidRDefault="00314BEC" w:rsidP="00C409C1">
      <w:pPr>
        <w:pStyle w:val="ListParagraph"/>
        <w:tabs>
          <w:tab w:val="left" w:pos="720"/>
          <w:tab w:val="left" w:pos="1440"/>
          <w:tab w:val="left" w:pos="2160"/>
          <w:tab w:val="left" w:pos="2808"/>
        </w:tabs>
        <w:spacing w:after="0"/>
        <w:textAlignment w:val="baseline"/>
        <w:rPr>
          <w:color w:val="000000"/>
        </w:rPr>
      </w:pPr>
    </w:p>
    <w:p w14:paraId="0EBEAF1B" w14:textId="77777777" w:rsidR="00314BEC" w:rsidRPr="00D71DF0" w:rsidRDefault="00314BEC" w:rsidP="00C409C1">
      <w:pPr>
        <w:pStyle w:val="ListParagraph"/>
        <w:numPr>
          <w:ilvl w:val="0"/>
          <w:numId w:val="25"/>
        </w:numPr>
        <w:tabs>
          <w:tab w:val="left" w:pos="2160"/>
          <w:tab w:val="left" w:pos="2808"/>
        </w:tabs>
        <w:spacing w:after="0"/>
        <w:ind w:left="2160" w:hanging="720"/>
        <w:textAlignment w:val="baseline"/>
        <w:rPr>
          <w:color w:val="000000"/>
        </w:rPr>
      </w:pPr>
      <w:r w:rsidRPr="00D71DF0">
        <w:rPr>
          <w:color w:val="000000"/>
        </w:rPr>
        <w:t>the required permits to implement the proposal; and</w:t>
      </w:r>
    </w:p>
    <w:p w14:paraId="445066BD" w14:textId="77777777" w:rsidR="00D71DF0" w:rsidRDefault="00D71DF0" w:rsidP="00C409C1">
      <w:pPr>
        <w:pStyle w:val="ListParagraph"/>
        <w:tabs>
          <w:tab w:val="left" w:pos="1440"/>
          <w:tab w:val="left" w:pos="2160"/>
          <w:tab w:val="left" w:pos="2808"/>
        </w:tabs>
        <w:spacing w:after="0"/>
        <w:textAlignment w:val="baseline"/>
        <w:rPr>
          <w:color w:val="000000"/>
        </w:rPr>
      </w:pPr>
    </w:p>
    <w:p w14:paraId="5B8248E2" w14:textId="1CEF7E37" w:rsidR="00D71DF0" w:rsidRDefault="00C409C1" w:rsidP="00C409C1">
      <w:pPr>
        <w:pStyle w:val="ListParagraph"/>
        <w:tabs>
          <w:tab w:val="left" w:pos="2160"/>
          <w:tab w:val="left" w:pos="2808"/>
        </w:tabs>
        <w:spacing w:after="0"/>
        <w:ind w:left="2160"/>
        <w:textAlignment w:val="baseline"/>
        <w:rPr>
          <w:b/>
          <w:color w:val="000000"/>
        </w:rPr>
      </w:pPr>
      <w:r>
        <w:rPr>
          <w:b/>
          <w:color w:val="000000"/>
        </w:rPr>
        <w:t>Because</w:t>
      </w:r>
      <w:r w:rsidR="00D71DF0">
        <w:rPr>
          <w:b/>
          <w:color w:val="000000"/>
        </w:rPr>
        <w:t xml:space="preserve"> the site is within a 1% annual chance floodplain, the proposed improvements will require a Floodplain </w:t>
      </w:r>
      <w:r w:rsidR="00D82BFD">
        <w:rPr>
          <w:b/>
          <w:color w:val="000000"/>
        </w:rPr>
        <w:t xml:space="preserve">Development </w:t>
      </w:r>
      <w:r w:rsidR="00D71DF0">
        <w:rPr>
          <w:b/>
          <w:color w:val="000000"/>
        </w:rPr>
        <w:t xml:space="preserve">Permit from the City.  </w:t>
      </w:r>
      <w:r w:rsidR="00605FF3">
        <w:rPr>
          <w:b/>
          <w:color w:val="000000"/>
        </w:rPr>
        <w:t xml:space="preserve">Additionally, </w:t>
      </w:r>
      <w:r>
        <w:rPr>
          <w:b/>
          <w:color w:val="000000"/>
        </w:rPr>
        <w:t>because</w:t>
      </w:r>
      <w:r w:rsidR="00605FF3">
        <w:rPr>
          <w:b/>
          <w:color w:val="000000"/>
        </w:rPr>
        <w:t xml:space="preserve"> the site is within the coastal boundary, a Coastal Site Plan Application is also required </w:t>
      </w:r>
      <w:r w:rsidR="006D5B89">
        <w:rPr>
          <w:b/>
          <w:color w:val="000000"/>
        </w:rPr>
        <w:t>to be submitted to</w:t>
      </w:r>
      <w:r w:rsidR="00605FF3">
        <w:rPr>
          <w:b/>
          <w:color w:val="000000"/>
        </w:rPr>
        <w:t xml:space="preserve"> the City.</w:t>
      </w:r>
      <w:r w:rsidR="00D03F60">
        <w:rPr>
          <w:b/>
          <w:color w:val="000000"/>
        </w:rPr>
        <w:t xml:space="preserve">  As noted above, YNHH was not aware of these additional permitting requirements until earlier this year and its original timeline for renovations of the 150 Sargent Drive site had not included time for the additional permitting process.  As noted in our response to OHS’s order dated March 18, 2019, the </w:t>
      </w:r>
      <w:r w:rsidR="00D03F60" w:rsidRPr="00D03F60">
        <w:rPr>
          <w:b/>
          <w:color w:val="000000"/>
        </w:rPr>
        <w:t>timeline</w:t>
      </w:r>
      <w:r w:rsidR="00D03F60">
        <w:rPr>
          <w:b/>
          <w:color w:val="000000"/>
        </w:rPr>
        <w:t xml:space="preserve"> for the overall project</w:t>
      </w:r>
      <w:r w:rsidR="00D03F60" w:rsidRPr="00D03F60">
        <w:rPr>
          <w:b/>
          <w:color w:val="000000"/>
        </w:rPr>
        <w:t xml:space="preserve"> has been revised to an anticipated transition date in late summer 2020</w:t>
      </w:r>
      <w:r w:rsidR="00D03F60">
        <w:rPr>
          <w:b/>
          <w:color w:val="000000"/>
        </w:rPr>
        <w:t>.</w:t>
      </w:r>
    </w:p>
    <w:p w14:paraId="3032F958" w14:textId="77777777" w:rsidR="00605FF3" w:rsidRDefault="00605FF3" w:rsidP="00C409C1">
      <w:pPr>
        <w:pStyle w:val="ListParagraph"/>
        <w:tabs>
          <w:tab w:val="left" w:pos="1440"/>
          <w:tab w:val="left" w:pos="2160"/>
          <w:tab w:val="left" w:pos="2808"/>
        </w:tabs>
        <w:spacing w:after="0"/>
        <w:ind w:left="1440"/>
        <w:textAlignment w:val="baseline"/>
        <w:rPr>
          <w:b/>
          <w:color w:val="000000"/>
        </w:rPr>
      </w:pPr>
    </w:p>
    <w:p w14:paraId="2E946662" w14:textId="77777777" w:rsidR="00C36DF3" w:rsidRPr="00605FF3" w:rsidRDefault="00314BEC" w:rsidP="00C409C1">
      <w:pPr>
        <w:pStyle w:val="ListParagraph"/>
        <w:numPr>
          <w:ilvl w:val="0"/>
          <w:numId w:val="25"/>
        </w:numPr>
        <w:tabs>
          <w:tab w:val="left" w:pos="2160"/>
          <w:tab w:val="left" w:pos="2808"/>
        </w:tabs>
        <w:spacing w:after="0"/>
        <w:ind w:left="2070" w:hanging="630"/>
        <w:textAlignment w:val="baseline"/>
        <w:rPr>
          <w:color w:val="000000"/>
        </w:rPr>
      </w:pPr>
      <w:proofErr w:type="gramStart"/>
      <w:r w:rsidRPr="00605FF3">
        <w:rPr>
          <w:color w:val="000000"/>
        </w:rPr>
        <w:t>the</w:t>
      </w:r>
      <w:proofErr w:type="gramEnd"/>
      <w:r w:rsidRPr="00605FF3">
        <w:rPr>
          <w:color w:val="000000"/>
        </w:rPr>
        <w:t xml:space="preserve"> permit application schedule.</w:t>
      </w:r>
    </w:p>
    <w:p w14:paraId="0E288709" w14:textId="77777777" w:rsidR="00605FF3" w:rsidRDefault="00605FF3" w:rsidP="00C409C1">
      <w:pPr>
        <w:pStyle w:val="ListParagraph"/>
        <w:tabs>
          <w:tab w:val="left" w:pos="720"/>
          <w:tab w:val="left" w:pos="1440"/>
          <w:tab w:val="left" w:pos="2160"/>
          <w:tab w:val="left" w:pos="2808"/>
        </w:tabs>
        <w:spacing w:after="0"/>
        <w:textAlignment w:val="baseline"/>
        <w:rPr>
          <w:color w:val="000000"/>
        </w:rPr>
      </w:pPr>
    </w:p>
    <w:p w14:paraId="43D1180C" w14:textId="257C710B" w:rsidR="00605FF3" w:rsidRPr="00605FF3" w:rsidRDefault="006D5B89" w:rsidP="00C409C1">
      <w:pPr>
        <w:pStyle w:val="ListParagraph"/>
        <w:tabs>
          <w:tab w:val="left" w:pos="720"/>
          <w:tab w:val="left" w:pos="1440"/>
          <w:tab w:val="left" w:pos="2160"/>
          <w:tab w:val="left" w:pos="2808"/>
        </w:tabs>
        <w:spacing w:after="0"/>
        <w:ind w:left="2070"/>
        <w:textAlignment w:val="baseline"/>
        <w:rPr>
          <w:b/>
          <w:color w:val="000000"/>
        </w:rPr>
      </w:pPr>
      <w:r w:rsidRPr="006D5B89">
        <w:rPr>
          <w:b/>
          <w:color w:val="000000"/>
        </w:rPr>
        <w:t xml:space="preserve">Applications </w:t>
      </w:r>
      <w:r w:rsidR="00DF446A">
        <w:rPr>
          <w:b/>
          <w:color w:val="000000"/>
        </w:rPr>
        <w:t>are scheduled to</w:t>
      </w:r>
      <w:r w:rsidR="00DF446A" w:rsidRPr="006D5B89">
        <w:rPr>
          <w:b/>
          <w:color w:val="000000"/>
        </w:rPr>
        <w:t xml:space="preserve"> </w:t>
      </w:r>
      <w:r w:rsidRPr="006D5B89">
        <w:rPr>
          <w:b/>
          <w:color w:val="000000"/>
        </w:rPr>
        <w:t>be submitted to the City by April 18, 2019</w:t>
      </w:r>
      <w:r w:rsidR="00DF446A">
        <w:rPr>
          <w:b/>
          <w:color w:val="000000"/>
        </w:rPr>
        <w:t xml:space="preserve"> for review at the May 15, 2019 City Plan </w:t>
      </w:r>
      <w:r w:rsidR="00FF23B0">
        <w:rPr>
          <w:b/>
          <w:color w:val="000000"/>
        </w:rPr>
        <w:t xml:space="preserve">Commission </w:t>
      </w:r>
      <w:r w:rsidR="00DF446A">
        <w:rPr>
          <w:b/>
          <w:color w:val="000000"/>
        </w:rPr>
        <w:t>meeting</w:t>
      </w:r>
      <w:r w:rsidRPr="006D5B89">
        <w:rPr>
          <w:b/>
          <w:color w:val="000000"/>
        </w:rPr>
        <w:t>.</w:t>
      </w:r>
    </w:p>
    <w:p w14:paraId="47944B8B" w14:textId="77777777" w:rsidR="00CA66F7" w:rsidRDefault="00CA66F7" w:rsidP="00C409C1">
      <w:pPr>
        <w:spacing w:after="0"/>
      </w:pPr>
    </w:p>
    <w:p w14:paraId="1F22DC67" w14:textId="77777777" w:rsidR="00605FF3" w:rsidRDefault="00605FF3" w:rsidP="00C409C1">
      <w:pPr>
        <w:spacing w:after="0"/>
        <w:ind w:left="1440" w:hanging="720"/>
      </w:pPr>
      <w:r>
        <w:t>d.</w:t>
      </w:r>
      <w:r>
        <w:tab/>
      </w:r>
      <w:r w:rsidRPr="00605FF3">
        <w:t>The estimated impact on the patient population and the Federally Qualified Health Centers ("FQHCs") should flooding impede access to the proposed location; and</w:t>
      </w:r>
    </w:p>
    <w:p w14:paraId="176E2B25" w14:textId="77777777" w:rsidR="00605FF3" w:rsidRDefault="00605FF3" w:rsidP="00C409C1">
      <w:pPr>
        <w:spacing w:after="0"/>
        <w:ind w:left="720" w:hanging="720"/>
      </w:pPr>
    </w:p>
    <w:p w14:paraId="7879E81B" w14:textId="1F35F9B2" w:rsidR="00605FF3" w:rsidRPr="00605FF3" w:rsidRDefault="007A0356" w:rsidP="00C409C1">
      <w:pPr>
        <w:spacing w:after="0"/>
        <w:ind w:left="1440"/>
        <w:rPr>
          <w:b/>
        </w:rPr>
      </w:pPr>
      <w:r>
        <w:rPr>
          <w:b/>
        </w:rPr>
        <w:t xml:space="preserve">Based on </w:t>
      </w:r>
      <w:r w:rsidR="00F92725">
        <w:rPr>
          <w:b/>
        </w:rPr>
        <w:t xml:space="preserve">the </w:t>
      </w:r>
      <w:r>
        <w:rPr>
          <w:b/>
        </w:rPr>
        <w:t>experience</w:t>
      </w:r>
      <w:r w:rsidR="004C7AD2">
        <w:rPr>
          <w:b/>
        </w:rPr>
        <w:t xml:space="preserve"> of the past ten (10) years</w:t>
      </w:r>
      <w:r w:rsidR="00C52642">
        <w:rPr>
          <w:b/>
        </w:rPr>
        <w:t xml:space="preserve"> (described above)</w:t>
      </w:r>
      <w:r>
        <w:rPr>
          <w:b/>
        </w:rPr>
        <w:t xml:space="preserve">, YNHH and the FQHCs do not anticipate that flooding will impede access to the proposed location.  </w:t>
      </w:r>
      <w:r w:rsidR="00C52642">
        <w:rPr>
          <w:b/>
        </w:rPr>
        <w:t>It is standard practice of both</w:t>
      </w:r>
      <w:r w:rsidR="005B5BF7">
        <w:rPr>
          <w:b/>
        </w:rPr>
        <w:t xml:space="preserve"> YNHH and the </w:t>
      </w:r>
      <w:r w:rsidR="00A4157C">
        <w:rPr>
          <w:b/>
        </w:rPr>
        <w:t>FQHCs</w:t>
      </w:r>
      <w:r w:rsidR="005B5BF7">
        <w:rPr>
          <w:b/>
        </w:rPr>
        <w:t xml:space="preserve"> </w:t>
      </w:r>
      <w:r w:rsidR="00C52642">
        <w:rPr>
          <w:b/>
        </w:rPr>
        <w:t xml:space="preserve">to notify patients and reschedule appointments in the event of </w:t>
      </w:r>
      <w:r w:rsidR="005B5BF7">
        <w:rPr>
          <w:b/>
        </w:rPr>
        <w:t>weather-related closures (e.g., as a result of snowstorms).  In doing so, patient and employee safety is paramount and specific circumstances are evaluated to determine whether sites will be closed and for how long. Patients are rescheduled or redirected based on acuity.  Because care to be provided at 150 Sargent Drive consists of outpatient, ambulatory services, rescheduling can be managed without any adverse impact on patients.</w:t>
      </w:r>
    </w:p>
    <w:p w14:paraId="77CA4074" w14:textId="77777777" w:rsidR="00605FF3" w:rsidRPr="00605FF3" w:rsidRDefault="00605FF3" w:rsidP="00C409C1">
      <w:pPr>
        <w:spacing w:after="0"/>
      </w:pPr>
    </w:p>
    <w:p w14:paraId="25178AAB" w14:textId="77777777" w:rsidR="00605FF3" w:rsidRDefault="00605FF3" w:rsidP="00C409C1">
      <w:pPr>
        <w:tabs>
          <w:tab w:val="left" w:pos="1440"/>
          <w:tab w:val="left" w:pos="2160"/>
        </w:tabs>
        <w:spacing w:after="0"/>
        <w:ind w:left="1440" w:hanging="720"/>
        <w:rPr>
          <w:color w:val="000000"/>
        </w:rPr>
      </w:pPr>
      <w:r>
        <w:rPr>
          <w:color w:val="000000"/>
        </w:rPr>
        <w:t>e.</w:t>
      </w:r>
      <w:r>
        <w:rPr>
          <w:color w:val="000000"/>
        </w:rPr>
        <w:tab/>
      </w:r>
      <w:r w:rsidRPr="00605FF3">
        <w:rPr>
          <w:color w:val="000000"/>
        </w:rPr>
        <w:t>A mitigation plan to maintain access to primary care services for the patient population during a flood event.</w:t>
      </w:r>
    </w:p>
    <w:p w14:paraId="132F8496" w14:textId="77777777" w:rsidR="00605FF3" w:rsidRDefault="00605FF3" w:rsidP="00C409C1">
      <w:pPr>
        <w:spacing w:after="0"/>
        <w:ind w:left="720" w:hanging="720"/>
      </w:pPr>
    </w:p>
    <w:p w14:paraId="20FE2664" w14:textId="7D4AFA92" w:rsidR="00605FF3" w:rsidRPr="00605FF3" w:rsidRDefault="00DF446A" w:rsidP="00C409C1">
      <w:pPr>
        <w:spacing w:after="0"/>
        <w:ind w:left="1440"/>
        <w:rPr>
          <w:b/>
        </w:rPr>
      </w:pPr>
      <w:r>
        <w:rPr>
          <w:b/>
        </w:rPr>
        <w:t xml:space="preserve">As noted above, the building has not historically been impacted by flooding, even during significant storms </w:t>
      </w:r>
      <w:r w:rsidR="00FF23B0">
        <w:rPr>
          <w:b/>
        </w:rPr>
        <w:t xml:space="preserve">such as </w:t>
      </w:r>
      <w:r>
        <w:rPr>
          <w:b/>
        </w:rPr>
        <w:t xml:space="preserve">Tropical Storm Irene and Superstorm Sandy.  </w:t>
      </w:r>
      <w:r w:rsidR="004D0933">
        <w:rPr>
          <w:b/>
        </w:rPr>
        <w:t xml:space="preserve">Any future risk will be mitigated by flood-proofing the building, re-paving the parking lot and undertaking the other renovations recommended by the architect.  </w:t>
      </w:r>
      <w:r w:rsidR="00745E43">
        <w:rPr>
          <w:b/>
        </w:rPr>
        <w:t>In the event that any roadways are flooded, there are alternate routes for access:  in addition to access via Sargent Drive, t</w:t>
      </w:r>
      <w:r>
        <w:rPr>
          <w:b/>
        </w:rPr>
        <w:t xml:space="preserve">he site is also accessible from the north and northwest via Union Avenue and Church Street.  </w:t>
      </w:r>
      <w:r w:rsidR="00745E43">
        <w:rPr>
          <w:b/>
        </w:rPr>
        <w:t>In addition, b</w:t>
      </w:r>
      <w:r w:rsidR="00AF6956">
        <w:rPr>
          <w:b/>
        </w:rPr>
        <w:t xml:space="preserve">ecause the source of the flood risk in the area </w:t>
      </w:r>
      <w:r w:rsidR="00605FF3">
        <w:rPr>
          <w:b/>
        </w:rPr>
        <w:t>is coastal in nature</w:t>
      </w:r>
      <w:r w:rsidR="00AF6956">
        <w:rPr>
          <w:b/>
        </w:rPr>
        <w:t xml:space="preserve"> (a</w:t>
      </w:r>
      <w:r w:rsidR="00605FF3">
        <w:rPr>
          <w:b/>
        </w:rPr>
        <w:t>s opposed to riverine flash flooding events</w:t>
      </w:r>
      <w:r w:rsidR="00AF6956">
        <w:rPr>
          <w:b/>
        </w:rPr>
        <w:t>)</w:t>
      </w:r>
      <w:r w:rsidR="00605FF3">
        <w:rPr>
          <w:b/>
        </w:rPr>
        <w:t xml:space="preserve">, there is typically a few days </w:t>
      </w:r>
      <w:r w:rsidR="00FF23B0">
        <w:rPr>
          <w:b/>
        </w:rPr>
        <w:t xml:space="preserve">advance </w:t>
      </w:r>
      <w:r w:rsidR="00605FF3">
        <w:rPr>
          <w:b/>
        </w:rPr>
        <w:t>warning with major coastal storms, which will enable the facility staff to prepare in advance.</w:t>
      </w:r>
      <w:r w:rsidR="00AF6956">
        <w:rPr>
          <w:b/>
        </w:rPr>
        <w:t xml:space="preserve">  </w:t>
      </w:r>
      <w:r w:rsidR="00745E43">
        <w:rPr>
          <w:b/>
        </w:rPr>
        <w:t>Because coastal</w:t>
      </w:r>
      <w:r w:rsidR="00AF6956">
        <w:rPr>
          <w:b/>
        </w:rPr>
        <w:t xml:space="preserve"> flooding dissipates with the tide, flooding </w:t>
      </w:r>
      <w:r w:rsidR="00745E43">
        <w:rPr>
          <w:b/>
        </w:rPr>
        <w:t xml:space="preserve">of roads in the area </w:t>
      </w:r>
      <w:r w:rsidR="00AF6956">
        <w:rPr>
          <w:b/>
        </w:rPr>
        <w:t>is typically short-term.</w:t>
      </w:r>
      <w:r w:rsidR="005B5BF7">
        <w:rPr>
          <w:b/>
        </w:rPr>
        <w:t xml:space="preserve">  As noted above, if there are any </w:t>
      </w:r>
      <w:r w:rsidR="00C52642">
        <w:rPr>
          <w:b/>
        </w:rPr>
        <w:t xml:space="preserve">weather-related emergencies </w:t>
      </w:r>
      <w:r w:rsidR="005B5BF7">
        <w:rPr>
          <w:b/>
        </w:rPr>
        <w:t>that require that the site be closed, patients will be notified and rescheduled or redirected.</w:t>
      </w:r>
    </w:p>
    <w:p w14:paraId="51139122" w14:textId="77777777" w:rsidR="00605FF3" w:rsidRDefault="00605FF3" w:rsidP="00C409C1">
      <w:pPr>
        <w:spacing w:after="0"/>
        <w:ind w:left="720" w:hanging="720"/>
      </w:pPr>
    </w:p>
    <w:p w14:paraId="67AC2168" w14:textId="50508087" w:rsidR="00605FF3" w:rsidRDefault="00605FF3" w:rsidP="00DB1797">
      <w:pPr>
        <w:spacing w:after="0"/>
        <w:ind w:left="360" w:hanging="360"/>
        <w:jc w:val="left"/>
        <w:rPr>
          <w:color w:val="000000"/>
          <w:spacing w:val="-7"/>
        </w:rPr>
      </w:pPr>
      <w:r>
        <w:rPr>
          <w:color w:val="000000"/>
          <w:spacing w:val="-7"/>
        </w:rPr>
        <w:t>2.</w:t>
      </w:r>
      <w:r w:rsidR="00DB1797">
        <w:rPr>
          <w:color w:val="000000"/>
          <w:spacing w:val="-7"/>
        </w:rPr>
        <w:t xml:space="preserve">  </w:t>
      </w:r>
      <w:r w:rsidR="008758D6">
        <w:rPr>
          <w:color w:val="000000"/>
          <w:spacing w:val="-7"/>
        </w:rPr>
        <w:t xml:space="preserve"> </w:t>
      </w:r>
      <w:r w:rsidR="00DB1797" w:rsidRPr="00DB1797">
        <w:rPr>
          <w:color w:val="000000"/>
          <w:spacing w:val="-7"/>
        </w:rPr>
        <w:t>Provide a list of all transportation vendors the Applicant cons</w:t>
      </w:r>
      <w:r w:rsidR="00DB1797">
        <w:rPr>
          <w:color w:val="000000"/>
          <w:spacing w:val="-7"/>
        </w:rPr>
        <w:t xml:space="preserve">idered for the provision of ADA </w:t>
      </w:r>
      <w:r w:rsidR="00DB1797" w:rsidRPr="00DB1797">
        <w:rPr>
          <w:color w:val="000000"/>
          <w:spacing w:val="-7"/>
        </w:rPr>
        <w:t>compliant transportation services for 150 Sargent Drive, and the measures taken to assess each vendor's capacity to serve the target population.</w:t>
      </w:r>
    </w:p>
    <w:p w14:paraId="0343FB7B" w14:textId="5C4932E8" w:rsidR="00DB1797" w:rsidRDefault="00DB1797" w:rsidP="00DB1797">
      <w:pPr>
        <w:spacing w:after="0"/>
        <w:ind w:left="360" w:hanging="360"/>
        <w:jc w:val="left"/>
        <w:rPr>
          <w:color w:val="000000"/>
          <w:spacing w:val="-7"/>
        </w:rPr>
      </w:pPr>
    </w:p>
    <w:p w14:paraId="747BE09C" w14:textId="26579C1E" w:rsidR="00D048ED" w:rsidRDefault="001868CC" w:rsidP="000B0211">
      <w:pPr>
        <w:spacing w:after="0"/>
        <w:ind w:left="360"/>
        <w:rPr>
          <w:b/>
          <w:color w:val="000000"/>
          <w:spacing w:val="-7"/>
        </w:rPr>
      </w:pPr>
      <w:r>
        <w:rPr>
          <w:b/>
          <w:color w:val="000000"/>
          <w:spacing w:val="-7"/>
        </w:rPr>
        <w:t>As noted at the hearing and in previous filings, YNHH has evaluated the transportation needs of the patients of the current Primary Care Centers (PCCs) and has considered ways to ensure that transportation is not a barrier to access.  YNHH conducted a statistically-</w:t>
      </w:r>
      <w:r w:rsidR="00A4157C">
        <w:rPr>
          <w:b/>
          <w:color w:val="000000"/>
          <w:spacing w:val="-7"/>
        </w:rPr>
        <w:t xml:space="preserve">significant </w:t>
      </w:r>
      <w:r>
        <w:rPr>
          <w:b/>
          <w:color w:val="000000"/>
          <w:spacing w:val="-7"/>
        </w:rPr>
        <w:t xml:space="preserve">sample </w:t>
      </w:r>
      <w:r w:rsidR="008B0761">
        <w:rPr>
          <w:b/>
          <w:color w:val="000000"/>
          <w:spacing w:val="-7"/>
        </w:rPr>
        <w:t xml:space="preserve">survey </w:t>
      </w:r>
      <w:r>
        <w:rPr>
          <w:b/>
          <w:color w:val="000000"/>
          <w:spacing w:val="-7"/>
        </w:rPr>
        <w:t xml:space="preserve">of over 2,500 current PCC patients and determined that approximately two-thirds </w:t>
      </w:r>
      <w:r w:rsidR="00C52642">
        <w:rPr>
          <w:b/>
          <w:color w:val="000000"/>
          <w:spacing w:val="-7"/>
        </w:rPr>
        <w:t>relied on private</w:t>
      </w:r>
      <w:r>
        <w:rPr>
          <w:b/>
          <w:color w:val="000000"/>
          <w:spacing w:val="-7"/>
        </w:rPr>
        <w:t xml:space="preserve"> vehicle</w:t>
      </w:r>
      <w:r w:rsidR="00C52642">
        <w:rPr>
          <w:b/>
          <w:color w:val="000000"/>
          <w:spacing w:val="-7"/>
        </w:rPr>
        <w:t>s</w:t>
      </w:r>
      <w:r>
        <w:rPr>
          <w:b/>
          <w:color w:val="000000"/>
          <w:spacing w:val="-7"/>
        </w:rPr>
        <w:t xml:space="preserve"> to travel to their appointments and would benefit from the ease of access and free parking at the new site.   Of the patients who do not use </w:t>
      </w:r>
      <w:r w:rsidR="00C52642">
        <w:rPr>
          <w:b/>
          <w:color w:val="000000"/>
          <w:spacing w:val="-7"/>
        </w:rPr>
        <w:t xml:space="preserve">private </w:t>
      </w:r>
      <w:r>
        <w:rPr>
          <w:b/>
          <w:color w:val="000000"/>
          <w:spacing w:val="-7"/>
        </w:rPr>
        <w:t>vehicles, approximately</w:t>
      </w:r>
      <w:r w:rsidR="008B0761">
        <w:rPr>
          <w:b/>
          <w:color w:val="000000"/>
          <w:spacing w:val="-7"/>
        </w:rPr>
        <w:t xml:space="preserve"> </w:t>
      </w:r>
      <w:r w:rsidR="00DB1797" w:rsidRPr="009E2637">
        <w:rPr>
          <w:b/>
          <w:color w:val="000000"/>
          <w:spacing w:val="-7"/>
        </w:rPr>
        <w:t>10% indicated they walk to appointments</w:t>
      </w:r>
      <w:r>
        <w:rPr>
          <w:b/>
          <w:color w:val="000000"/>
          <w:spacing w:val="-7"/>
        </w:rPr>
        <w:t>,</w:t>
      </w:r>
      <w:r w:rsidR="00DB1797" w:rsidRPr="009E2637">
        <w:rPr>
          <w:b/>
          <w:color w:val="000000"/>
          <w:spacing w:val="-7"/>
        </w:rPr>
        <w:t xml:space="preserve"> 15% indicated that they use public transportation</w:t>
      </w:r>
      <w:r>
        <w:rPr>
          <w:b/>
          <w:color w:val="000000"/>
          <w:spacing w:val="-7"/>
        </w:rPr>
        <w:t xml:space="preserve">, and </w:t>
      </w:r>
      <w:r w:rsidR="00286314" w:rsidRPr="009E2637">
        <w:rPr>
          <w:b/>
          <w:color w:val="000000"/>
          <w:spacing w:val="-7"/>
        </w:rPr>
        <w:t>5% indicated they used a Medical Taxi or other medical transportation</w:t>
      </w:r>
      <w:r>
        <w:rPr>
          <w:b/>
          <w:color w:val="000000"/>
          <w:spacing w:val="-7"/>
        </w:rPr>
        <w:t xml:space="preserve">.  </w:t>
      </w:r>
    </w:p>
    <w:p w14:paraId="6431A69C" w14:textId="77777777" w:rsidR="00D048ED" w:rsidRDefault="00D048ED" w:rsidP="000B0211">
      <w:pPr>
        <w:spacing w:after="0"/>
        <w:ind w:left="360"/>
        <w:rPr>
          <w:b/>
          <w:color w:val="000000"/>
          <w:spacing w:val="-7"/>
        </w:rPr>
      </w:pPr>
    </w:p>
    <w:p w14:paraId="3FB7EEDB" w14:textId="1316ED7D" w:rsidR="00286314" w:rsidRDefault="00C52642" w:rsidP="000B0211">
      <w:pPr>
        <w:spacing w:after="0"/>
        <w:ind w:left="360"/>
        <w:rPr>
          <w:b/>
          <w:color w:val="000000"/>
          <w:spacing w:val="-7"/>
        </w:rPr>
      </w:pPr>
      <w:r>
        <w:rPr>
          <w:b/>
          <w:color w:val="000000"/>
          <w:spacing w:val="-7"/>
        </w:rPr>
        <w:t>Patients</w:t>
      </w:r>
      <w:r w:rsidR="001868CC">
        <w:rPr>
          <w:b/>
          <w:color w:val="000000"/>
          <w:spacing w:val="-7"/>
        </w:rPr>
        <w:t xml:space="preserve"> who currently use Medical Taxis or other medical transportation will </w:t>
      </w:r>
      <w:r>
        <w:rPr>
          <w:b/>
          <w:color w:val="000000"/>
          <w:spacing w:val="-7"/>
        </w:rPr>
        <w:t xml:space="preserve">be able to </w:t>
      </w:r>
      <w:r w:rsidR="00286314" w:rsidRPr="009E2637">
        <w:rPr>
          <w:b/>
          <w:color w:val="000000"/>
          <w:spacing w:val="-7"/>
        </w:rPr>
        <w:t>utilize those services</w:t>
      </w:r>
      <w:r w:rsidR="001868CC">
        <w:rPr>
          <w:b/>
          <w:color w:val="000000"/>
          <w:spacing w:val="-7"/>
        </w:rPr>
        <w:t xml:space="preserve"> to access 150 Sargent Drive</w:t>
      </w:r>
      <w:r w:rsidR="00286314" w:rsidRPr="009E2637">
        <w:rPr>
          <w:b/>
          <w:color w:val="000000"/>
          <w:spacing w:val="-7"/>
        </w:rPr>
        <w:t xml:space="preserve">.  </w:t>
      </w:r>
      <w:r w:rsidR="00D048ED">
        <w:rPr>
          <w:b/>
          <w:color w:val="000000"/>
          <w:spacing w:val="-7"/>
        </w:rPr>
        <w:t>YNHH has, therefore, focused its efforts on ensuring that access will not be limited for those who use public transportation and/or who walk to their appointments.  In its evaluation, it has considered the needs of the patient population, including those who require specialized transportation services.  YNHH considered various options:</w:t>
      </w:r>
    </w:p>
    <w:p w14:paraId="0DAD251D" w14:textId="77777777" w:rsidR="00D048ED" w:rsidRDefault="00D048ED" w:rsidP="000B0211">
      <w:pPr>
        <w:spacing w:after="0"/>
        <w:ind w:left="360"/>
        <w:rPr>
          <w:b/>
          <w:color w:val="000000"/>
          <w:spacing w:val="-7"/>
        </w:rPr>
      </w:pPr>
    </w:p>
    <w:p w14:paraId="7F32D4A1" w14:textId="3AFA7816" w:rsidR="00DB1797" w:rsidRPr="00D048ED" w:rsidRDefault="00D048ED" w:rsidP="00D048ED">
      <w:pPr>
        <w:pStyle w:val="ListParagraph"/>
        <w:numPr>
          <w:ilvl w:val="0"/>
          <w:numId w:val="27"/>
        </w:numPr>
        <w:spacing w:after="0"/>
        <w:rPr>
          <w:b/>
          <w:color w:val="000000"/>
          <w:spacing w:val="-7"/>
        </w:rPr>
      </w:pPr>
      <w:r w:rsidRPr="00D048ED">
        <w:rPr>
          <w:b/>
          <w:color w:val="000000"/>
          <w:spacing w:val="-7"/>
          <w:u w:val="single"/>
        </w:rPr>
        <w:t>Public Transit</w:t>
      </w:r>
      <w:r>
        <w:rPr>
          <w:b/>
          <w:color w:val="000000"/>
          <w:spacing w:val="-7"/>
        </w:rPr>
        <w:t xml:space="preserve">.  </w:t>
      </w:r>
      <w:r w:rsidR="008B0761">
        <w:rPr>
          <w:b/>
          <w:color w:val="000000"/>
          <w:spacing w:val="-7"/>
        </w:rPr>
        <w:t>YNHH</w:t>
      </w:r>
      <w:r w:rsidR="00286314" w:rsidRPr="00D048ED">
        <w:rPr>
          <w:b/>
          <w:color w:val="000000"/>
          <w:spacing w:val="-7"/>
        </w:rPr>
        <w:t xml:space="preserve"> </w:t>
      </w:r>
      <w:r>
        <w:rPr>
          <w:b/>
          <w:color w:val="000000"/>
          <w:spacing w:val="-7"/>
        </w:rPr>
        <w:t>reviewed</w:t>
      </w:r>
      <w:r w:rsidRPr="00D048ED">
        <w:rPr>
          <w:b/>
          <w:color w:val="000000"/>
          <w:spacing w:val="-7"/>
        </w:rPr>
        <w:t xml:space="preserve"> </w:t>
      </w:r>
      <w:r w:rsidR="00286314" w:rsidRPr="00D048ED">
        <w:rPr>
          <w:b/>
          <w:color w:val="000000"/>
          <w:spacing w:val="-7"/>
        </w:rPr>
        <w:t>CT Transit</w:t>
      </w:r>
      <w:r w:rsidR="008758D6" w:rsidRPr="00D048ED">
        <w:rPr>
          <w:b/>
          <w:color w:val="000000"/>
          <w:spacing w:val="-7"/>
        </w:rPr>
        <w:t xml:space="preserve">, and </w:t>
      </w:r>
      <w:r>
        <w:rPr>
          <w:b/>
          <w:color w:val="000000"/>
          <w:spacing w:val="-7"/>
        </w:rPr>
        <w:t>evaluated</w:t>
      </w:r>
      <w:r w:rsidRPr="00D048ED">
        <w:rPr>
          <w:b/>
          <w:color w:val="000000"/>
          <w:spacing w:val="-7"/>
        </w:rPr>
        <w:t xml:space="preserve"> </w:t>
      </w:r>
      <w:r w:rsidR="008758D6" w:rsidRPr="00D048ED">
        <w:rPr>
          <w:b/>
          <w:color w:val="000000"/>
          <w:spacing w:val="-7"/>
        </w:rPr>
        <w:t xml:space="preserve">bus routes from the </w:t>
      </w:r>
      <w:r w:rsidRPr="00D048ED">
        <w:rPr>
          <w:b/>
          <w:color w:val="000000"/>
          <w:spacing w:val="-7"/>
        </w:rPr>
        <w:t xml:space="preserve"> </w:t>
      </w:r>
      <w:r w:rsidR="008758D6" w:rsidRPr="00D048ED">
        <w:rPr>
          <w:b/>
          <w:color w:val="000000"/>
          <w:spacing w:val="-7"/>
        </w:rPr>
        <w:t xml:space="preserve">New Haven neighborhoods </w:t>
      </w:r>
      <w:r>
        <w:rPr>
          <w:b/>
          <w:color w:val="000000"/>
          <w:spacing w:val="-7"/>
        </w:rPr>
        <w:t xml:space="preserve">in which the majority of patients who </w:t>
      </w:r>
      <w:r w:rsidR="008758D6" w:rsidRPr="00D048ED">
        <w:rPr>
          <w:b/>
          <w:color w:val="000000"/>
          <w:spacing w:val="-7"/>
        </w:rPr>
        <w:t>receive services at the YNHH PCCs</w:t>
      </w:r>
      <w:r>
        <w:rPr>
          <w:b/>
          <w:color w:val="000000"/>
          <w:spacing w:val="-7"/>
        </w:rPr>
        <w:t xml:space="preserve"> live</w:t>
      </w:r>
      <w:r w:rsidR="008758D6" w:rsidRPr="00D048ED">
        <w:rPr>
          <w:b/>
          <w:color w:val="000000"/>
          <w:spacing w:val="-7"/>
        </w:rPr>
        <w:t xml:space="preserve">, with special focus on the  neighborhoods where the largest concentration of patients not using </w:t>
      </w:r>
      <w:r w:rsidR="00C52642">
        <w:rPr>
          <w:b/>
          <w:color w:val="000000"/>
          <w:spacing w:val="-7"/>
        </w:rPr>
        <w:t>private vehicle</w:t>
      </w:r>
      <w:r w:rsidR="00F92725">
        <w:rPr>
          <w:b/>
          <w:color w:val="000000"/>
          <w:spacing w:val="-7"/>
        </w:rPr>
        <w:t>s</w:t>
      </w:r>
      <w:r w:rsidR="00C52642" w:rsidRPr="00D048ED">
        <w:rPr>
          <w:b/>
          <w:color w:val="000000"/>
          <w:spacing w:val="-7"/>
        </w:rPr>
        <w:t xml:space="preserve"> </w:t>
      </w:r>
      <w:r w:rsidR="008758D6" w:rsidRPr="00D048ED">
        <w:rPr>
          <w:b/>
          <w:color w:val="000000"/>
          <w:spacing w:val="-7"/>
        </w:rPr>
        <w:t>reside.  All CT Transit buses have wheelchair lifts or ramps for access by persons with disabilities.  Buses can also “kneel” to lower the first step height.  According to the CT Transit website:  “Most types of mobility devices (wheelchairs, 3-wheel scooters, and walkers</w:t>
      </w:r>
      <w:r w:rsidR="001868CC" w:rsidRPr="00D048ED">
        <w:rPr>
          <w:b/>
          <w:color w:val="000000"/>
          <w:spacing w:val="-7"/>
        </w:rPr>
        <w:t>)</w:t>
      </w:r>
      <w:r w:rsidR="008758D6" w:rsidRPr="00D048ED">
        <w:rPr>
          <w:b/>
          <w:color w:val="000000"/>
          <w:spacing w:val="-7"/>
        </w:rPr>
        <w:t xml:space="preserve"> can be accommodated on the buses.”  Senior citizens </w:t>
      </w:r>
      <w:r w:rsidR="00400B39" w:rsidRPr="00D048ED">
        <w:rPr>
          <w:b/>
          <w:color w:val="000000"/>
          <w:spacing w:val="-7"/>
        </w:rPr>
        <w:t xml:space="preserve">(65+) </w:t>
      </w:r>
      <w:r w:rsidR="008758D6" w:rsidRPr="00D048ED">
        <w:rPr>
          <w:b/>
          <w:color w:val="000000"/>
          <w:spacing w:val="-7"/>
        </w:rPr>
        <w:t xml:space="preserve">and those </w:t>
      </w:r>
      <w:r w:rsidR="00400B39" w:rsidRPr="00D048ED">
        <w:rPr>
          <w:b/>
          <w:color w:val="000000"/>
          <w:spacing w:val="-7"/>
        </w:rPr>
        <w:t xml:space="preserve">with a qualifying disability can travel for a reduced fare at any time on CT Transit and all other bus systems operating under contract to the CTDOT.  </w:t>
      </w:r>
    </w:p>
    <w:p w14:paraId="544F89AA" w14:textId="16A113B1" w:rsidR="00400B39" w:rsidRPr="009E2637" w:rsidRDefault="00400B39" w:rsidP="000B0211">
      <w:pPr>
        <w:spacing w:after="0"/>
        <w:ind w:left="360"/>
        <w:rPr>
          <w:b/>
          <w:color w:val="000000"/>
          <w:spacing w:val="-7"/>
        </w:rPr>
      </w:pPr>
    </w:p>
    <w:p w14:paraId="3C7D1B3B" w14:textId="054545A1" w:rsidR="00400B39" w:rsidRDefault="00D048ED" w:rsidP="00D048ED">
      <w:pPr>
        <w:pStyle w:val="ListParagraph"/>
        <w:numPr>
          <w:ilvl w:val="0"/>
          <w:numId w:val="27"/>
        </w:numPr>
        <w:spacing w:after="0"/>
        <w:rPr>
          <w:b/>
          <w:color w:val="000000"/>
          <w:spacing w:val="-7"/>
        </w:rPr>
      </w:pPr>
      <w:r w:rsidRPr="00D048ED">
        <w:rPr>
          <w:b/>
          <w:color w:val="000000"/>
          <w:spacing w:val="-7"/>
          <w:u w:val="single"/>
        </w:rPr>
        <w:t>Ride Sharing</w:t>
      </w:r>
      <w:r>
        <w:rPr>
          <w:b/>
          <w:color w:val="000000"/>
          <w:spacing w:val="-7"/>
        </w:rPr>
        <w:t xml:space="preserve">.  </w:t>
      </w:r>
      <w:r w:rsidR="00400B39" w:rsidRPr="009E2637">
        <w:rPr>
          <w:b/>
          <w:color w:val="000000"/>
          <w:spacing w:val="-7"/>
        </w:rPr>
        <w:t xml:space="preserve">After review of the bus routes identified that there </w:t>
      </w:r>
      <w:r>
        <w:rPr>
          <w:b/>
          <w:color w:val="000000"/>
          <w:spacing w:val="-7"/>
        </w:rPr>
        <w:t>are</w:t>
      </w:r>
      <w:r w:rsidRPr="009E2637">
        <w:rPr>
          <w:b/>
          <w:color w:val="000000"/>
          <w:spacing w:val="-7"/>
        </w:rPr>
        <w:t xml:space="preserve"> </w:t>
      </w:r>
      <w:r w:rsidR="00400B39" w:rsidRPr="009E2637">
        <w:rPr>
          <w:b/>
          <w:color w:val="000000"/>
          <w:spacing w:val="-7"/>
        </w:rPr>
        <w:t xml:space="preserve">some routes that would require </w:t>
      </w:r>
      <w:r w:rsidR="00C52642">
        <w:rPr>
          <w:b/>
          <w:color w:val="000000"/>
          <w:spacing w:val="-7"/>
        </w:rPr>
        <w:t>more than one</w:t>
      </w:r>
      <w:r w:rsidR="00C52642" w:rsidRPr="009E2637">
        <w:rPr>
          <w:b/>
          <w:color w:val="000000"/>
          <w:spacing w:val="-7"/>
        </w:rPr>
        <w:t xml:space="preserve"> </w:t>
      </w:r>
      <w:r w:rsidR="00400B39" w:rsidRPr="009E2637">
        <w:rPr>
          <w:b/>
          <w:color w:val="000000"/>
          <w:spacing w:val="-7"/>
        </w:rPr>
        <w:t xml:space="preserve">transfer, </w:t>
      </w:r>
      <w:r>
        <w:rPr>
          <w:b/>
          <w:color w:val="000000"/>
          <w:spacing w:val="-7"/>
        </w:rPr>
        <w:t>YNHH</w:t>
      </w:r>
      <w:r w:rsidR="00400B39" w:rsidRPr="009E2637">
        <w:rPr>
          <w:b/>
          <w:color w:val="000000"/>
          <w:spacing w:val="-7"/>
        </w:rPr>
        <w:t xml:space="preserve"> considered ride-sharing options.  </w:t>
      </w:r>
      <w:r w:rsidR="00C52642">
        <w:rPr>
          <w:b/>
          <w:color w:val="000000"/>
          <w:spacing w:val="-7"/>
        </w:rPr>
        <w:t xml:space="preserve">  One of the vendors we are planning to use for ride sharing has a specialized program called </w:t>
      </w:r>
      <w:proofErr w:type="spellStart"/>
      <w:r w:rsidR="00C52642">
        <w:rPr>
          <w:b/>
          <w:color w:val="000000"/>
          <w:spacing w:val="-7"/>
        </w:rPr>
        <w:t>UberASSIST</w:t>
      </w:r>
      <w:proofErr w:type="spellEnd"/>
      <w:r w:rsidR="00C52642">
        <w:rPr>
          <w:b/>
          <w:color w:val="000000"/>
          <w:spacing w:val="-7"/>
        </w:rPr>
        <w:t>.</w:t>
      </w:r>
    </w:p>
    <w:p w14:paraId="5CBD2BF9" w14:textId="681E1D9D" w:rsidR="009E2637" w:rsidRDefault="009E2637" w:rsidP="000B0211">
      <w:pPr>
        <w:spacing w:after="0"/>
        <w:ind w:left="360"/>
        <w:rPr>
          <w:b/>
          <w:color w:val="000000"/>
          <w:spacing w:val="-7"/>
        </w:rPr>
      </w:pPr>
    </w:p>
    <w:p w14:paraId="5CDBCE70" w14:textId="384572E2" w:rsidR="006A2EFB" w:rsidRDefault="009E2637" w:rsidP="006A2EFB">
      <w:pPr>
        <w:pStyle w:val="ListParagraph"/>
        <w:spacing w:after="0"/>
        <w:ind w:left="1080"/>
        <w:rPr>
          <w:b/>
          <w:color w:val="000000"/>
        </w:rPr>
      </w:pPr>
      <w:proofErr w:type="spellStart"/>
      <w:r w:rsidRPr="009E2637">
        <w:rPr>
          <w:b/>
          <w:color w:val="000000"/>
        </w:rPr>
        <w:t>UberASSIST</w:t>
      </w:r>
      <w:proofErr w:type="spellEnd"/>
      <w:r w:rsidRPr="009E2637">
        <w:rPr>
          <w:b/>
          <w:color w:val="000000"/>
        </w:rPr>
        <w:t xml:space="preserve"> is a program that has been successfully implement</w:t>
      </w:r>
      <w:r w:rsidR="008B0761">
        <w:rPr>
          <w:b/>
          <w:color w:val="000000"/>
        </w:rPr>
        <w:t>ed</w:t>
      </w:r>
      <w:r w:rsidRPr="009E2637">
        <w:rPr>
          <w:b/>
          <w:color w:val="000000"/>
        </w:rPr>
        <w:t xml:space="preserve"> in other parts of the country</w:t>
      </w:r>
      <w:r w:rsidR="006A2EFB">
        <w:rPr>
          <w:b/>
          <w:color w:val="000000"/>
        </w:rPr>
        <w:t xml:space="preserve"> and </w:t>
      </w:r>
      <w:r w:rsidRPr="009E2637">
        <w:rPr>
          <w:b/>
          <w:color w:val="000000"/>
        </w:rPr>
        <w:t>provides extra assistance for patients with special transportation needs, including those with disabilities, seniors, and pregnant women.  Drivers are required to take an online course and drive a vehicle that can accommodate an assistive device, such as a folding wheelchair or collapsible scooter.</w:t>
      </w:r>
      <w:r w:rsidR="006A2EFB">
        <w:rPr>
          <w:b/>
          <w:color w:val="000000"/>
        </w:rPr>
        <w:t xml:space="preserve">  YNHH and </w:t>
      </w:r>
      <w:proofErr w:type="spellStart"/>
      <w:r w:rsidR="006A2EFB">
        <w:rPr>
          <w:b/>
          <w:color w:val="000000"/>
        </w:rPr>
        <w:t>Uber</w:t>
      </w:r>
      <w:r w:rsidR="00031FD8">
        <w:rPr>
          <w:b/>
          <w:color w:val="000000"/>
        </w:rPr>
        <w:t>ASSIST</w:t>
      </w:r>
      <w:proofErr w:type="spellEnd"/>
      <w:r w:rsidR="006A2EFB">
        <w:rPr>
          <w:b/>
          <w:color w:val="000000"/>
        </w:rPr>
        <w:t xml:space="preserve"> are working through the terms of their contract </w:t>
      </w:r>
      <w:r w:rsidR="00031FD8">
        <w:rPr>
          <w:b/>
          <w:color w:val="000000"/>
        </w:rPr>
        <w:t xml:space="preserve">and </w:t>
      </w:r>
      <w:r w:rsidR="006A2EFB">
        <w:rPr>
          <w:b/>
          <w:color w:val="000000"/>
        </w:rPr>
        <w:t xml:space="preserve">anticipate that it will be finalized </w:t>
      </w:r>
      <w:r w:rsidR="006A2EFB" w:rsidRPr="004949E5">
        <w:rPr>
          <w:rFonts w:eastAsiaTheme="minorEastAsia"/>
          <w:b/>
        </w:rPr>
        <w:t xml:space="preserve">several months prior to the </w:t>
      </w:r>
      <w:r w:rsidR="006A2EFB">
        <w:rPr>
          <w:rFonts w:eastAsiaTheme="minorEastAsia"/>
          <w:b/>
        </w:rPr>
        <w:t>transition</w:t>
      </w:r>
      <w:r w:rsidR="006A2EFB" w:rsidRPr="004949E5">
        <w:rPr>
          <w:rFonts w:eastAsiaTheme="minorEastAsia"/>
          <w:b/>
        </w:rPr>
        <w:t xml:space="preserve"> of services</w:t>
      </w:r>
      <w:r w:rsidR="006A2EFB">
        <w:rPr>
          <w:rFonts w:eastAsiaTheme="minorEastAsia"/>
          <w:b/>
        </w:rPr>
        <w:t xml:space="preserve"> to 150 Sargent Drive.  Uber has informed YNHH that </w:t>
      </w:r>
      <w:proofErr w:type="spellStart"/>
      <w:r w:rsidR="006A2EFB">
        <w:rPr>
          <w:rFonts w:eastAsiaTheme="minorEastAsia"/>
          <w:b/>
        </w:rPr>
        <w:t>UberASSIST</w:t>
      </w:r>
      <w:proofErr w:type="spellEnd"/>
      <w:r w:rsidR="006A2EFB" w:rsidRPr="004949E5">
        <w:rPr>
          <w:rFonts w:eastAsiaTheme="minorEastAsia"/>
          <w:b/>
        </w:rPr>
        <w:t xml:space="preserve"> has been implemented in fifteen cities across the United States and </w:t>
      </w:r>
      <w:r w:rsidR="006A2EFB">
        <w:rPr>
          <w:rFonts w:eastAsiaTheme="minorEastAsia"/>
          <w:b/>
        </w:rPr>
        <w:t>that it is</w:t>
      </w:r>
      <w:r w:rsidR="006A2EFB" w:rsidRPr="004949E5">
        <w:rPr>
          <w:rFonts w:eastAsiaTheme="minorEastAsia"/>
          <w:b/>
        </w:rPr>
        <w:t xml:space="preserve"> confident </w:t>
      </w:r>
      <w:r w:rsidR="006A2EFB">
        <w:rPr>
          <w:rFonts w:eastAsiaTheme="minorEastAsia"/>
          <w:b/>
        </w:rPr>
        <w:t>that it will be able to implement the program in G</w:t>
      </w:r>
      <w:r w:rsidR="006A2EFB" w:rsidRPr="004949E5">
        <w:rPr>
          <w:rFonts w:eastAsiaTheme="minorEastAsia"/>
          <w:b/>
        </w:rPr>
        <w:t>reater New Haven area</w:t>
      </w:r>
      <w:r w:rsidR="006A2EFB">
        <w:rPr>
          <w:rFonts w:eastAsiaTheme="minorEastAsia"/>
          <w:b/>
        </w:rPr>
        <w:t xml:space="preserve"> in time for the transition of services to</w:t>
      </w:r>
      <w:r w:rsidR="006A2EFB" w:rsidRPr="004949E5">
        <w:rPr>
          <w:rFonts w:eastAsiaTheme="minorEastAsia"/>
          <w:b/>
        </w:rPr>
        <w:t xml:space="preserve"> 150 Sargent Drive.</w:t>
      </w:r>
      <w:r w:rsidR="006A2EFB">
        <w:rPr>
          <w:b/>
          <w:color w:val="000000"/>
        </w:rPr>
        <w:t xml:space="preserve"> </w:t>
      </w:r>
    </w:p>
    <w:p w14:paraId="3DF1B553" w14:textId="77777777" w:rsidR="006A2EFB" w:rsidRDefault="006A2EFB" w:rsidP="006A2EFB">
      <w:pPr>
        <w:pStyle w:val="ListParagraph"/>
        <w:spacing w:after="0"/>
        <w:ind w:left="1080"/>
        <w:rPr>
          <w:b/>
          <w:color w:val="000000"/>
        </w:rPr>
      </w:pPr>
    </w:p>
    <w:p w14:paraId="573DC9AB" w14:textId="5B551AD2" w:rsidR="00A21CA2" w:rsidRDefault="006A2EFB" w:rsidP="006A2EFB">
      <w:pPr>
        <w:pStyle w:val="ListParagraph"/>
        <w:numPr>
          <w:ilvl w:val="0"/>
          <w:numId w:val="27"/>
        </w:numPr>
        <w:spacing w:after="0"/>
        <w:rPr>
          <w:b/>
          <w:color w:val="000000"/>
        </w:rPr>
      </w:pPr>
      <w:r>
        <w:rPr>
          <w:b/>
          <w:color w:val="000000"/>
          <w:u w:val="single"/>
        </w:rPr>
        <w:t>Specialized Transportation Providers</w:t>
      </w:r>
      <w:r w:rsidRPr="006A2EFB">
        <w:rPr>
          <w:b/>
          <w:color w:val="000000"/>
        </w:rPr>
        <w:t>.</w:t>
      </w:r>
      <w:r w:rsidR="00A21CA2">
        <w:rPr>
          <w:b/>
          <w:color w:val="000000"/>
        </w:rPr>
        <w:t xml:space="preserve">  </w:t>
      </w:r>
      <w:r>
        <w:rPr>
          <w:b/>
          <w:color w:val="000000"/>
        </w:rPr>
        <w:t xml:space="preserve">As noted above, approximately 5% of the current PCC patients utilize </w:t>
      </w:r>
      <w:r w:rsidRPr="009E2637">
        <w:rPr>
          <w:b/>
          <w:color w:val="000000"/>
          <w:spacing w:val="-7"/>
        </w:rPr>
        <w:t>a Medical Taxi or other medical transportation</w:t>
      </w:r>
      <w:r>
        <w:rPr>
          <w:b/>
          <w:color w:val="000000"/>
          <w:spacing w:val="-7"/>
        </w:rPr>
        <w:t xml:space="preserve"> to access primary care services.   It is anticipated that those patients will continue to use these services without change.  For patients who do not currently utilize such services and who </w:t>
      </w:r>
      <w:r w:rsidR="00031FD8">
        <w:rPr>
          <w:b/>
          <w:color w:val="000000"/>
          <w:spacing w:val="-7"/>
        </w:rPr>
        <w:t xml:space="preserve">need services beyond scope of </w:t>
      </w:r>
      <w:proofErr w:type="spellStart"/>
      <w:r>
        <w:rPr>
          <w:b/>
          <w:color w:val="000000"/>
          <w:spacing w:val="-7"/>
        </w:rPr>
        <w:t>UberASSIST</w:t>
      </w:r>
      <w:proofErr w:type="spellEnd"/>
      <w:r>
        <w:rPr>
          <w:b/>
          <w:color w:val="000000"/>
          <w:spacing w:val="-7"/>
        </w:rPr>
        <w:t>, YNHH has reviewed the following options</w:t>
      </w:r>
      <w:r w:rsidR="00A21CA2">
        <w:rPr>
          <w:b/>
          <w:color w:val="000000"/>
        </w:rPr>
        <w:t xml:space="preserve">: </w:t>
      </w:r>
    </w:p>
    <w:p w14:paraId="37B7318A" w14:textId="77777777" w:rsidR="00A21CA2" w:rsidRDefault="00A21CA2" w:rsidP="000B0211">
      <w:pPr>
        <w:spacing w:after="0"/>
        <w:ind w:left="360"/>
        <w:rPr>
          <w:b/>
          <w:color w:val="000000"/>
        </w:rPr>
      </w:pPr>
    </w:p>
    <w:p w14:paraId="28E619D8" w14:textId="7435A378" w:rsidR="00477D61" w:rsidRPr="00477D61" w:rsidRDefault="00477D61" w:rsidP="00872632">
      <w:pPr>
        <w:pStyle w:val="ListParagraph"/>
        <w:numPr>
          <w:ilvl w:val="0"/>
          <w:numId w:val="26"/>
        </w:numPr>
        <w:spacing w:after="0"/>
        <w:ind w:left="1800"/>
        <w:rPr>
          <w:b/>
          <w:color w:val="000000"/>
          <w:spacing w:val="-7"/>
        </w:rPr>
      </w:pPr>
      <w:r>
        <w:rPr>
          <w:b/>
          <w:color w:val="000000"/>
          <w:spacing w:val="-7"/>
        </w:rPr>
        <w:t>Veyo, the State of Connecticut’s contracted provider of transportation services for Medicaid beneficiaries.</w:t>
      </w:r>
    </w:p>
    <w:p w14:paraId="66630E70" w14:textId="3F2CB445" w:rsidR="009E2637" w:rsidRPr="00AC00C9" w:rsidRDefault="00A21CA2" w:rsidP="00872632">
      <w:pPr>
        <w:pStyle w:val="ListParagraph"/>
        <w:numPr>
          <w:ilvl w:val="0"/>
          <w:numId w:val="26"/>
        </w:numPr>
        <w:spacing w:after="0"/>
        <w:ind w:left="1800"/>
        <w:rPr>
          <w:b/>
          <w:color w:val="000000"/>
          <w:spacing w:val="-7"/>
        </w:rPr>
      </w:pPr>
      <w:r w:rsidRPr="00AC00C9">
        <w:rPr>
          <w:b/>
          <w:color w:val="000000"/>
        </w:rPr>
        <w:t xml:space="preserve">The Greater </w:t>
      </w:r>
      <w:r w:rsidR="00C1577C">
        <w:rPr>
          <w:b/>
          <w:color w:val="000000"/>
        </w:rPr>
        <w:t>N</w:t>
      </w:r>
      <w:r w:rsidR="00C1577C" w:rsidRPr="00AC00C9">
        <w:rPr>
          <w:b/>
          <w:color w:val="000000"/>
        </w:rPr>
        <w:t xml:space="preserve">ew </w:t>
      </w:r>
      <w:r w:rsidRPr="00AC00C9">
        <w:rPr>
          <w:b/>
          <w:color w:val="000000"/>
        </w:rPr>
        <w:t>Haven Transit District (GNHTD)</w:t>
      </w:r>
      <w:r w:rsidR="003F02CD">
        <w:rPr>
          <w:b/>
          <w:color w:val="000000"/>
        </w:rPr>
        <w:t xml:space="preserve"> and the Milford Transit District</w:t>
      </w:r>
      <w:r w:rsidR="00AF2B85">
        <w:rPr>
          <w:b/>
          <w:color w:val="000000"/>
        </w:rPr>
        <w:t xml:space="preserve"> (MTD)</w:t>
      </w:r>
      <w:r w:rsidRPr="00AC00C9">
        <w:rPr>
          <w:b/>
          <w:color w:val="000000"/>
        </w:rPr>
        <w:t xml:space="preserve">, which provide transportation services </w:t>
      </w:r>
      <w:r w:rsidR="00C1577C">
        <w:rPr>
          <w:b/>
          <w:color w:val="000000"/>
        </w:rPr>
        <w:t xml:space="preserve">in </w:t>
      </w:r>
      <w:r w:rsidR="003F02CD">
        <w:rPr>
          <w:b/>
          <w:color w:val="000000"/>
        </w:rPr>
        <w:t>the region</w:t>
      </w:r>
      <w:r w:rsidR="00C1577C">
        <w:rPr>
          <w:b/>
          <w:color w:val="000000"/>
        </w:rPr>
        <w:t xml:space="preserve"> for individuals with disabilities, seniors and veterans.  GNHTD </w:t>
      </w:r>
      <w:r w:rsidR="00B47A4E">
        <w:rPr>
          <w:b/>
          <w:color w:val="000000"/>
        </w:rPr>
        <w:t>and</w:t>
      </w:r>
      <w:r w:rsidR="003F02CD">
        <w:rPr>
          <w:b/>
          <w:color w:val="000000"/>
        </w:rPr>
        <w:t xml:space="preserve"> MTD are</w:t>
      </w:r>
      <w:r w:rsidR="00C1577C">
        <w:rPr>
          <w:b/>
          <w:color w:val="000000"/>
        </w:rPr>
        <w:t xml:space="preserve"> regional provider</w:t>
      </w:r>
      <w:r w:rsidR="003F02CD">
        <w:rPr>
          <w:b/>
          <w:color w:val="000000"/>
        </w:rPr>
        <w:t>s</w:t>
      </w:r>
      <w:r w:rsidR="00C1577C">
        <w:rPr>
          <w:b/>
          <w:color w:val="000000"/>
        </w:rPr>
        <w:t xml:space="preserve"> in Greater New Haven of ADA-compliant transportation services under Connecticut’s complementary ADA paratransit service</w:t>
      </w:r>
      <w:r w:rsidRPr="00AC00C9">
        <w:rPr>
          <w:b/>
          <w:color w:val="000000"/>
        </w:rPr>
        <w:t>.</w:t>
      </w:r>
      <w:r w:rsidR="00C1577C">
        <w:rPr>
          <w:b/>
          <w:color w:val="000000"/>
        </w:rPr>
        <w:t xml:space="preserve">  Patients who meet the ADA definition of disability may apply for access to the service on a temporary, conditional or unconditional basis (e.g. those whose disability always prevents them from using public buses need only apply and be certified once for access on all future trips).</w:t>
      </w:r>
      <w:r w:rsidRPr="00AC00C9">
        <w:rPr>
          <w:b/>
          <w:color w:val="000000"/>
        </w:rPr>
        <w:t xml:space="preserve">  </w:t>
      </w:r>
    </w:p>
    <w:p w14:paraId="31509231" w14:textId="4E9C8B60" w:rsidR="00A21CA2" w:rsidRPr="00AF2B85" w:rsidRDefault="00A21CA2" w:rsidP="00872632">
      <w:pPr>
        <w:pStyle w:val="ListParagraph"/>
        <w:numPr>
          <w:ilvl w:val="0"/>
          <w:numId w:val="26"/>
        </w:numPr>
        <w:spacing w:after="0"/>
        <w:ind w:left="1800"/>
        <w:rPr>
          <w:b/>
          <w:color w:val="000000"/>
          <w:spacing w:val="-7"/>
        </w:rPr>
      </w:pPr>
      <w:r>
        <w:rPr>
          <w:b/>
          <w:color w:val="000000"/>
        </w:rPr>
        <w:t xml:space="preserve">Coordinated Transportation Solutions (CTS), which offers specialized transportation </w:t>
      </w:r>
      <w:r w:rsidRPr="00872632">
        <w:rPr>
          <w:b/>
          <w:color w:val="000000"/>
          <w:spacing w:val="-7"/>
        </w:rPr>
        <w:t>services</w:t>
      </w:r>
      <w:r>
        <w:rPr>
          <w:b/>
          <w:color w:val="000000"/>
        </w:rPr>
        <w:t xml:space="preserve"> throughout Connecticut.</w:t>
      </w:r>
      <w:r w:rsidR="00C1577C">
        <w:rPr>
          <w:b/>
          <w:color w:val="000000"/>
        </w:rPr>
        <w:t xml:space="preserve">  </w:t>
      </w:r>
      <w:r w:rsidR="00477D61">
        <w:rPr>
          <w:b/>
        </w:rPr>
        <w:t xml:space="preserve">CTS contracts with three transportation providers operating in and around New Haven, all of which are ADA-compliant and include lift-equipped </w:t>
      </w:r>
      <w:proofErr w:type="spellStart"/>
      <w:r w:rsidR="00477D61">
        <w:rPr>
          <w:b/>
        </w:rPr>
        <w:t>Handivans</w:t>
      </w:r>
      <w:proofErr w:type="spellEnd"/>
      <w:r w:rsidR="00477D61">
        <w:rPr>
          <w:b/>
        </w:rPr>
        <w:t>, and vehicles with ramps that accommodate powered wheelchairs and scooters</w:t>
      </w:r>
      <w:r w:rsidR="00C1577C">
        <w:rPr>
          <w:b/>
          <w:color w:val="000000"/>
        </w:rPr>
        <w:t>.</w:t>
      </w:r>
    </w:p>
    <w:p w14:paraId="6B8CED64" w14:textId="64B067E3" w:rsidR="00AF2B85" w:rsidRPr="00AF2B85" w:rsidRDefault="00AF2B85" w:rsidP="00AF2B85">
      <w:pPr>
        <w:pStyle w:val="ListParagraph"/>
        <w:numPr>
          <w:ilvl w:val="1"/>
          <w:numId w:val="28"/>
        </w:numPr>
        <w:spacing w:after="0"/>
        <w:rPr>
          <w:b/>
          <w:color w:val="000000"/>
          <w:spacing w:val="-7"/>
        </w:rPr>
      </w:pPr>
      <w:r w:rsidRPr="00AF2B85">
        <w:rPr>
          <w:b/>
          <w:color w:val="000000"/>
          <w:spacing w:val="-7"/>
        </w:rPr>
        <w:t>Section 5310 grantees in the greater New Haven area.  Section 5310 is a federal grant program intended to improve mobility for seniors and individuals with disabilities by removing barriers to transportation service and expanding transportat</w:t>
      </w:r>
      <w:r w:rsidR="00056B12">
        <w:rPr>
          <w:b/>
          <w:color w:val="000000"/>
          <w:spacing w:val="-7"/>
        </w:rPr>
        <w:t xml:space="preserve">ion mobility options.  The </w:t>
      </w:r>
      <w:r w:rsidRPr="00AF2B85">
        <w:rPr>
          <w:b/>
          <w:color w:val="000000"/>
          <w:spacing w:val="-7"/>
        </w:rPr>
        <w:t>Transit Manager</w:t>
      </w:r>
      <w:r w:rsidR="00056B12">
        <w:rPr>
          <w:b/>
          <w:color w:val="000000"/>
          <w:spacing w:val="-7"/>
        </w:rPr>
        <w:t xml:space="preserve"> of the</w:t>
      </w:r>
      <w:r w:rsidRPr="00AF2B85">
        <w:rPr>
          <w:b/>
          <w:color w:val="000000"/>
          <w:spacing w:val="-7"/>
        </w:rPr>
        <w:t xml:space="preserve"> Bureau of Public Transportation, Connecticut Department of Transportation provided information on Section 5310 grantees in the area that provide medical transportation, including:</w:t>
      </w:r>
    </w:p>
    <w:p w14:paraId="187C06B3" w14:textId="77777777" w:rsidR="00AF2B85" w:rsidRPr="00AF2B85" w:rsidRDefault="00AF2B85" w:rsidP="00AF2B85">
      <w:pPr>
        <w:pStyle w:val="ListParagraph"/>
        <w:numPr>
          <w:ilvl w:val="2"/>
          <w:numId w:val="26"/>
        </w:numPr>
        <w:spacing w:after="0"/>
        <w:ind w:left="1980" w:hanging="180"/>
        <w:rPr>
          <w:b/>
          <w:color w:val="000000"/>
          <w:spacing w:val="-7"/>
        </w:rPr>
      </w:pPr>
      <w:r w:rsidRPr="00AF2B85">
        <w:rPr>
          <w:b/>
          <w:color w:val="000000"/>
          <w:spacing w:val="-7"/>
        </w:rPr>
        <w:t>The Kennedy Center,</w:t>
      </w:r>
    </w:p>
    <w:p w14:paraId="6919ADC2" w14:textId="77777777" w:rsidR="00AF2B85" w:rsidRPr="00AF2B85" w:rsidRDefault="00AF2B85" w:rsidP="00AF2B85">
      <w:pPr>
        <w:pStyle w:val="ListParagraph"/>
        <w:numPr>
          <w:ilvl w:val="2"/>
          <w:numId w:val="26"/>
        </w:numPr>
        <w:spacing w:after="0"/>
        <w:ind w:left="1980" w:hanging="180"/>
        <w:rPr>
          <w:b/>
          <w:color w:val="000000"/>
          <w:spacing w:val="-7"/>
        </w:rPr>
      </w:pPr>
      <w:r w:rsidRPr="00AF2B85">
        <w:rPr>
          <w:b/>
          <w:color w:val="000000"/>
          <w:spacing w:val="-7"/>
        </w:rPr>
        <w:t xml:space="preserve">Marrakech, Inc., </w:t>
      </w:r>
    </w:p>
    <w:p w14:paraId="192BD62D" w14:textId="77777777" w:rsidR="00AF2B85" w:rsidRPr="00AF2B85" w:rsidRDefault="00AF2B85" w:rsidP="00AF2B85">
      <w:pPr>
        <w:pStyle w:val="ListParagraph"/>
        <w:numPr>
          <w:ilvl w:val="2"/>
          <w:numId w:val="26"/>
        </w:numPr>
        <w:spacing w:after="0"/>
        <w:ind w:left="1980" w:hanging="180"/>
        <w:rPr>
          <w:b/>
          <w:color w:val="000000"/>
          <w:spacing w:val="-7"/>
        </w:rPr>
      </w:pPr>
      <w:r w:rsidRPr="00AF2B85">
        <w:rPr>
          <w:b/>
          <w:color w:val="000000"/>
          <w:spacing w:val="-7"/>
        </w:rPr>
        <w:t xml:space="preserve">The Mary Wade Home, and </w:t>
      </w:r>
    </w:p>
    <w:p w14:paraId="5BEE3319" w14:textId="77EF3AC9" w:rsidR="00AF2B85" w:rsidRPr="00AF2B85" w:rsidRDefault="00AF2B85" w:rsidP="00AF2B85">
      <w:pPr>
        <w:pStyle w:val="ListParagraph"/>
        <w:numPr>
          <w:ilvl w:val="2"/>
          <w:numId w:val="26"/>
        </w:numPr>
        <w:spacing w:after="0"/>
        <w:ind w:left="1980" w:hanging="180"/>
        <w:rPr>
          <w:b/>
          <w:color w:val="000000"/>
          <w:spacing w:val="-7"/>
        </w:rPr>
      </w:pPr>
      <w:r w:rsidRPr="00AF2B85">
        <w:rPr>
          <w:b/>
          <w:color w:val="000000"/>
          <w:spacing w:val="-7"/>
        </w:rPr>
        <w:t xml:space="preserve">East Shore Regional Adult Day Center dba Orchard House Medical Adult Day Center. </w:t>
      </w:r>
    </w:p>
    <w:p w14:paraId="1BBD1B38" w14:textId="77777777" w:rsidR="004949E5" w:rsidRPr="001868CC" w:rsidRDefault="00A21CA2" w:rsidP="00872632">
      <w:pPr>
        <w:pStyle w:val="ListParagraph"/>
        <w:numPr>
          <w:ilvl w:val="0"/>
          <w:numId w:val="26"/>
        </w:numPr>
        <w:spacing w:after="0"/>
        <w:ind w:left="1800"/>
      </w:pPr>
      <w:r w:rsidRPr="004949E5">
        <w:rPr>
          <w:b/>
          <w:color w:val="000000"/>
          <w:spacing w:val="-7"/>
        </w:rPr>
        <w:t xml:space="preserve">Other non-profits in and around New Haven that offer medical transportation services for specific populations:  cancer patients, ALS patients, HIV and AIDs </w:t>
      </w:r>
      <w:r w:rsidRPr="001868CC">
        <w:rPr>
          <w:b/>
          <w:color w:val="000000"/>
        </w:rPr>
        <w:t>patients</w:t>
      </w:r>
      <w:r w:rsidRPr="004949E5">
        <w:rPr>
          <w:b/>
          <w:color w:val="000000"/>
          <w:spacing w:val="-7"/>
        </w:rPr>
        <w:t xml:space="preserve">, individuals receiving HUSKY D or Military Support Program services, and patients with MS, among others.  </w:t>
      </w:r>
    </w:p>
    <w:p w14:paraId="13F4A875" w14:textId="77777777" w:rsidR="001868CC" w:rsidRDefault="001868CC" w:rsidP="001868CC">
      <w:pPr>
        <w:pStyle w:val="ListParagraph"/>
        <w:spacing w:after="0"/>
        <w:ind w:left="1080"/>
      </w:pPr>
    </w:p>
    <w:p w14:paraId="4CD4438D" w14:textId="77777777" w:rsidR="00477D61" w:rsidRDefault="00477D61" w:rsidP="00477D61">
      <w:pPr>
        <w:pStyle w:val="ListParagraph"/>
        <w:spacing w:after="0"/>
        <w:ind w:left="1080"/>
        <w:rPr>
          <w:b/>
        </w:rPr>
      </w:pPr>
    </w:p>
    <w:p w14:paraId="0C88D6EE" w14:textId="63992C6C" w:rsidR="00477D61" w:rsidRPr="004949E5" w:rsidRDefault="00477D61" w:rsidP="003F02CD">
      <w:pPr>
        <w:pStyle w:val="ListParagraph"/>
        <w:numPr>
          <w:ilvl w:val="0"/>
          <w:numId w:val="27"/>
        </w:numPr>
        <w:spacing w:after="0"/>
        <w:rPr>
          <w:rFonts w:eastAsiaTheme="minorEastAsia"/>
          <w:b/>
        </w:rPr>
      </w:pPr>
      <w:r w:rsidRPr="00477D61">
        <w:rPr>
          <w:b/>
          <w:u w:val="single"/>
        </w:rPr>
        <w:t>Other</w:t>
      </w:r>
      <w:r w:rsidRPr="00477D61">
        <w:rPr>
          <w:b/>
        </w:rPr>
        <w:t>.</w:t>
      </w:r>
      <w:r w:rsidRPr="00872632">
        <w:rPr>
          <w:b/>
        </w:rPr>
        <w:t xml:space="preserve">  </w:t>
      </w:r>
      <w:r>
        <w:rPr>
          <w:b/>
        </w:rPr>
        <w:t xml:space="preserve">For the small number of patients who do not meet eligibility requirements for Veyo, </w:t>
      </w:r>
      <w:r w:rsidR="003F02CD">
        <w:rPr>
          <w:b/>
        </w:rPr>
        <w:t>GNHTD or MTD</w:t>
      </w:r>
      <w:r>
        <w:rPr>
          <w:b/>
        </w:rPr>
        <w:t xml:space="preserve"> </w:t>
      </w:r>
      <w:r w:rsidR="00AF2B85">
        <w:rPr>
          <w:b/>
        </w:rPr>
        <w:t xml:space="preserve">or the other providers noted above, </w:t>
      </w:r>
      <w:r>
        <w:rPr>
          <w:b/>
        </w:rPr>
        <w:t xml:space="preserve">and who require greater assistance than is provided by the </w:t>
      </w:r>
      <w:proofErr w:type="spellStart"/>
      <w:r>
        <w:rPr>
          <w:b/>
        </w:rPr>
        <w:t>UberASSIST</w:t>
      </w:r>
      <w:proofErr w:type="spellEnd"/>
      <w:r>
        <w:rPr>
          <w:b/>
        </w:rPr>
        <w:t xml:space="preserve"> program, </w:t>
      </w:r>
      <w:r w:rsidR="00AF2B85">
        <w:rPr>
          <w:b/>
        </w:rPr>
        <w:t>YNHH</w:t>
      </w:r>
      <w:r>
        <w:rPr>
          <w:b/>
        </w:rPr>
        <w:t xml:space="preserve"> </w:t>
      </w:r>
      <w:r w:rsidR="003F02CD" w:rsidRPr="003F02CD">
        <w:rPr>
          <w:b/>
        </w:rPr>
        <w:t xml:space="preserve">has </w:t>
      </w:r>
      <w:r w:rsidR="00031FD8">
        <w:rPr>
          <w:b/>
        </w:rPr>
        <w:t xml:space="preserve">initiated conversations with MTD and </w:t>
      </w:r>
      <w:r w:rsidR="003F02CD">
        <w:rPr>
          <w:b/>
        </w:rPr>
        <w:t xml:space="preserve">discussed the basic terms of </w:t>
      </w:r>
      <w:r w:rsidR="003F02CD" w:rsidRPr="003F02CD">
        <w:rPr>
          <w:b/>
        </w:rPr>
        <w:t xml:space="preserve">an agreement in principle </w:t>
      </w:r>
      <w:r w:rsidR="00031FD8">
        <w:rPr>
          <w:b/>
        </w:rPr>
        <w:t>for</w:t>
      </w:r>
      <w:r w:rsidR="00031FD8" w:rsidRPr="003F02CD">
        <w:rPr>
          <w:b/>
        </w:rPr>
        <w:t xml:space="preserve"> </w:t>
      </w:r>
      <w:r w:rsidR="003F02CD">
        <w:rPr>
          <w:b/>
        </w:rPr>
        <w:t>MTD</w:t>
      </w:r>
      <w:r w:rsidR="003F02CD" w:rsidRPr="003F02CD">
        <w:rPr>
          <w:b/>
        </w:rPr>
        <w:t xml:space="preserve"> to be our safety net transportation provider for this population.  MTD </w:t>
      </w:r>
      <w:r w:rsidR="003F02CD">
        <w:rPr>
          <w:b/>
        </w:rPr>
        <w:t>has</w:t>
      </w:r>
      <w:r w:rsidR="003F02CD" w:rsidRPr="003F02CD">
        <w:rPr>
          <w:b/>
        </w:rPr>
        <w:t xml:space="preserve"> confirmed that </w:t>
      </w:r>
      <w:r w:rsidR="003F02CD">
        <w:rPr>
          <w:b/>
        </w:rPr>
        <w:t>it has</w:t>
      </w:r>
      <w:r w:rsidR="003F02CD" w:rsidRPr="003F02CD">
        <w:rPr>
          <w:b/>
        </w:rPr>
        <w:t xml:space="preserve"> the capacity to meet the needs of those patients with disabilities who need transportation to 150 Sargent Drive.  </w:t>
      </w:r>
    </w:p>
    <w:p w14:paraId="7589CC1E" w14:textId="77777777" w:rsidR="004949E5" w:rsidRPr="004949E5" w:rsidRDefault="004949E5" w:rsidP="000B0211">
      <w:pPr>
        <w:widowControl w:val="0"/>
        <w:kinsoku w:val="0"/>
        <w:overflowPunct w:val="0"/>
        <w:spacing w:before="6" w:after="0" w:line="273" w:lineRule="exact"/>
        <w:ind w:left="1656" w:right="1080"/>
        <w:textAlignment w:val="baseline"/>
        <w:rPr>
          <w:rFonts w:ascii="Times New Roman" w:eastAsiaTheme="minorEastAsia" w:hAnsi="Times New Roman"/>
          <w:b/>
          <w:sz w:val="24"/>
          <w:szCs w:val="24"/>
        </w:rPr>
      </w:pPr>
      <w:r w:rsidRPr="004949E5">
        <w:rPr>
          <w:rFonts w:ascii="Times New Roman" w:eastAsiaTheme="minorEastAsia" w:hAnsi="Times New Roman"/>
          <w:b/>
          <w:sz w:val="24"/>
          <w:szCs w:val="24"/>
        </w:rPr>
        <w:t xml:space="preserve"> </w:t>
      </w:r>
    </w:p>
    <w:p w14:paraId="41B6DAD5" w14:textId="77777777" w:rsidR="00056B12" w:rsidRDefault="00031FD8" w:rsidP="00AF2B85">
      <w:pPr>
        <w:spacing w:after="0"/>
        <w:ind w:left="360"/>
        <w:rPr>
          <w:b/>
        </w:rPr>
      </w:pPr>
      <w:r>
        <w:rPr>
          <w:b/>
        </w:rPr>
        <w:t>T</w:t>
      </w:r>
      <w:r w:rsidR="005B0BB8">
        <w:rPr>
          <w:b/>
        </w:rPr>
        <w:t xml:space="preserve">he combination of ample free parking, public transportation that is </w:t>
      </w:r>
      <w:r w:rsidR="00477D61">
        <w:rPr>
          <w:b/>
        </w:rPr>
        <w:t>ADA-</w:t>
      </w:r>
      <w:r w:rsidR="005B0BB8">
        <w:rPr>
          <w:b/>
        </w:rPr>
        <w:t xml:space="preserve">compliant, </w:t>
      </w:r>
      <w:r w:rsidR="00722828">
        <w:rPr>
          <w:b/>
        </w:rPr>
        <w:t xml:space="preserve">the ride-sharing program including Uber ASSIST, </w:t>
      </w:r>
      <w:r w:rsidR="005B0BB8">
        <w:rPr>
          <w:b/>
        </w:rPr>
        <w:t xml:space="preserve">and the services of Veyo, medical taxis and other specialized modes of transportation </w:t>
      </w:r>
      <w:r w:rsidR="00427BA4">
        <w:rPr>
          <w:b/>
        </w:rPr>
        <w:t>noted above</w:t>
      </w:r>
      <w:r w:rsidR="005B0BB8">
        <w:rPr>
          <w:b/>
        </w:rPr>
        <w:t xml:space="preserve"> will </w:t>
      </w:r>
      <w:r w:rsidR="00981AA6">
        <w:rPr>
          <w:b/>
        </w:rPr>
        <w:t>ensure that there are not barriers to access at 150 Sargent Drive</w:t>
      </w:r>
      <w:r w:rsidR="005B0BB8">
        <w:rPr>
          <w:b/>
        </w:rPr>
        <w:t xml:space="preserve">.  </w:t>
      </w:r>
    </w:p>
    <w:p w14:paraId="61184148" w14:textId="77777777" w:rsidR="00056B12" w:rsidRDefault="00056B12" w:rsidP="00AF2B85">
      <w:pPr>
        <w:spacing w:after="0"/>
        <w:ind w:left="360"/>
        <w:rPr>
          <w:b/>
        </w:rPr>
      </w:pPr>
    </w:p>
    <w:p w14:paraId="32D11CB7" w14:textId="77777777" w:rsidR="00056B12" w:rsidRDefault="00056B12" w:rsidP="00AF2B85">
      <w:pPr>
        <w:spacing w:after="0"/>
        <w:ind w:left="360"/>
        <w:rPr>
          <w:b/>
        </w:rPr>
      </w:pPr>
      <w:r>
        <w:rPr>
          <w:b/>
        </w:rPr>
        <w:t>Respectfully submitted,</w:t>
      </w:r>
    </w:p>
    <w:p w14:paraId="7117E081" w14:textId="77777777" w:rsidR="00056B12" w:rsidRPr="00056B12" w:rsidRDefault="00056B12" w:rsidP="00AF2B85">
      <w:pPr>
        <w:spacing w:after="0"/>
        <w:ind w:left="360"/>
        <w:rPr>
          <w:b/>
          <w:sz w:val="16"/>
          <w:szCs w:val="16"/>
        </w:rPr>
      </w:pPr>
    </w:p>
    <w:p w14:paraId="36942DC5" w14:textId="4A40ED5E" w:rsidR="00056B12" w:rsidRDefault="00056B12" w:rsidP="00056B12">
      <w:pPr>
        <w:spacing w:after="0"/>
        <w:ind w:left="360"/>
        <w:rPr>
          <w:b/>
        </w:rPr>
      </w:pPr>
      <w:r>
        <w:rPr>
          <w:bCs/>
          <w:noProof/>
        </w:rPr>
        <w:drawing>
          <wp:inline distT="0" distB="0" distL="0" distR="0" wp14:anchorId="28D2ED3A" wp14:editId="3EE386D6">
            <wp:extent cx="1467055" cy="49536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67055" cy="495369"/>
                    </a:xfrm>
                    <a:prstGeom prst="rect">
                      <a:avLst/>
                    </a:prstGeom>
                  </pic:spPr>
                </pic:pic>
              </a:graphicData>
            </a:graphic>
          </wp:inline>
        </w:drawing>
      </w:r>
    </w:p>
    <w:p w14:paraId="28FAB4B6" w14:textId="77777777" w:rsidR="00056B12" w:rsidRDefault="00056B12" w:rsidP="00AF2B85">
      <w:pPr>
        <w:spacing w:after="0"/>
        <w:ind w:left="360"/>
        <w:rPr>
          <w:b/>
        </w:rPr>
      </w:pPr>
      <w:r>
        <w:rPr>
          <w:b/>
        </w:rPr>
        <w:t>Jeryl Topalian</w:t>
      </w:r>
    </w:p>
    <w:p w14:paraId="549A9FF5" w14:textId="77777777" w:rsidR="00056B12" w:rsidRDefault="00056B12" w:rsidP="00AF2B85">
      <w:pPr>
        <w:spacing w:after="0"/>
        <w:ind w:left="360"/>
        <w:rPr>
          <w:b/>
        </w:rPr>
      </w:pPr>
      <w:r>
        <w:rPr>
          <w:b/>
        </w:rPr>
        <w:t>Director, Strategy and Regulatory Planning</w:t>
      </w:r>
    </w:p>
    <w:p w14:paraId="631C2903" w14:textId="77777777" w:rsidR="00056B12" w:rsidRDefault="00056B12" w:rsidP="00AF2B85">
      <w:pPr>
        <w:spacing w:after="0"/>
        <w:ind w:left="360"/>
        <w:rPr>
          <w:b/>
        </w:rPr>
      </w:pPr>
      <w:r>
        <w:rPr>
          <w:b/>
        </w:rPr>
        <w:t>Yale New Haven Health</w:t>
      </w:r>
    </w:p>
    <w:p w14:paraId="7A60BECF" w14:textId="77777777" w:rsidR="00056B12" w:rsidRDefault="00056B12" w:rsidP="00AF2B85">
      <w:pPr>
        <w:spacing w:after="0"/>
        <w:ind w:left="360"/>
        <w:rPr>
          <w:b/>
        </w:rPr>
      </w:pPr>
    </w:p>
    <w:p w14:paraId="32CC6CD0" w14:textId="77777777" w:rsidR="00056B12" w:rsidRDefault="00056B12" w:rsidP="00AF2B85">
      <w:pPr>
        <w:spacing w:after="0"/>
        <w:ind w:left="360"/>
        <w:rPr>
          <w:b/>
        </w:rPr>
      </w:pPr>
    </w:p>
    <w:p w14:paraId="6699AB2C" w14:textId="77777777" w:rsidR="00056B12" w:rsidRDefault="00056B12" w:rsidP="00AF2B85">
      <w:pPr>
        <w:spacing w:after="0"/>
        <w:ind w:left="360"/>
        <w:rPr>
          <w:b/>
        </w:rPr>
      </w:pPr>
    </w:p>
    <w:p w14:paraId="08EB457F" w14:textId="6BC96359" w:rsidR="00056B12" w:rsidRDefault="00056B12" w:rsidP="00AF2B85">
      <w:pPr>
        <w:spacing w:after="0"/>
        <w:ind w:left="360"/>
        <w:rPr>
          <w:b/>
        </w:rPr>
      </w:pPr>
      <w:r>
        <w:rPr>
          <w:b/>
        </w:rPr>
        <w:t>cc:  Cynthia Sparer, Sr. VP Operations, YNHHS</w:t>
      </w:r>
    </w:p>
    <w:p w14:paraId="2E3F86DA" w14:textId="6911A58B" w:rsidR="00AF2B85" w:rsidRPr="004949E5" w:rsidRDefault="00056B12" w:rsidP="00056B12">
      <w:pPr>
        <w:spacing w:after="0"/>
        <w:ind w:left="360" w:firstLine="360"/>
        <w:rPr>
          <w:b/>
        </w:rPr>
      </w:pPr>
      <w:r>
        <w:rPr>
          <w:b/>
        </w:rPr>
        <w:t xml:space="preserve">  Jennifer Willcox, VP Legal Services, YNHHS</w:t>
      </w:r>
      <w:bookmarkStart w:id="0" w:name="_GoBack"/>
      <w:bookmarkEnd w:id="0"/>
    </w:p>
    <w:p w14:paraId="5F3AC93E" w14:textId="2091F97A" w:rsidR="004949E5" w:rsidRDefault="00BD39C9" w:rsidP="00AF2B85">
      <w:pPr>
        <w:spacing w:after="0"/>
        <w:ind w:left="360"/>
        <w:rPr>
          <w:b/>
        </w:rPr>
      </w:pPr>
      <w:r>
        <w:rPr>
          <w:b/>
        </w:rPr>
        <w:t xml:space="preserve">  </w:t>
      </w:r>
    </w:p>
    <w:p w14:paraId="338247FD" w14:textId="469B8C7B" w:rsidR="00BD39C9" w:rsidRDefault="00BD39C9" w:rsidP="000B0211">
      <w:pPr>
        <w:spacing w:after="0"/>
        <w:ind w:left="360"/>
        <w:rPr>
          <w:b/>
        </w:rPr>
      </w:pPr>
    </w:p>
    <w:p w14:paraId="518A7503" w14:textId="6FF86666" w:rsidR="00605FF3" w:rsidRPr="00AA36FD" w:rsidRDefault="00605FF3" w:rsidP="00DB1797">
      <w:pPr>
        <w:spacing w:after="0"/>
        <w:ind w:left="360" w:hanging="360"/>
        <w:jc w:val="left"/>
        <w:rPr>
          <w:b/>
        </w:rPr>
      </w:pPr>
      <w:r w:rsidRPr="00AA36FD">
        <w:rPr>
          <w:b/>
        </w:rPr>
        <w:tab/>
      </w:r>
    </w:p>
    <w:p w14:paraId="72248C77" w14:textId="77777777" w:rsidR="00643D89" w:rsidRDefault="00643D89" w:rsidP="00643D89">
      <w:pPr>
        <w:spacing w:after="0"/>
        <w:rPr>
          <w:rFonts w:cs="Verdana"/>
          <w:color w:val="808080"/>
          <w:sz w:val="15"/>
          <w:szCs w:val="15"/>
        </w:rPr>
      </w:pPr>
    </w:p>
    <w:p w14:paraId="7F2DA969" w14:textId="77777777" w:rsidR="00FA28A2" w:rsidRPr="00643D89" w:rsidRDefault="00FA28A2" w:rsidP="00C409C1">
      <w:pPr>
        <w:spacing w:after="0"/>
        <w:jc w:val="left"/>
        <w:rPr>
          <w:color w:val="808080"/>
          <w:sz w:val="15"/>
          <w:szCs w:val="15"/>
        </w:rPr>
      </w:pPr>
    </w:p>
    <w:sectPr w:rsidR="00FA28A2" w:rsidRPr="00643D89" w:rsidSect="006619F7">
      <w:headerReference w:type="default" r:id="rId11"/>
      <w:footerReference w:type="default" r:id="rId12"/>
      <w:headerReference w:type="first" r:id="rId13"/>
      <w:footerReference w:type="first" r:id="rId14"/>
      <w:endnotePr>
        <w:numFmt w:val="decimal"/>
      </w:endnotePr>
      <w:pgSz w:w="12240" w:h="15840" w:code="1"/>
      <w:pgMar w:top="1440" w:right="1440" w:bottom="1080" w:left="1440" w:header="144" w:footer="0" w:gutter="0"/>
      <w:paperSrc w:first="15" w:other="15"/>
      <w:pgNumType w:start="1"/>
      <w:cols w:space="720"/>
      <w:noEndnote/>
      <w:titlePg/>
      <w:docGrid w:linePitch="272"/>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EDE6B" w14:textId="77777777" w:rsidR="00373BD4" w:rsidRDefault="00373BD4">
      <w:pPr>
        <w:spacing w:line="20" w:lineRule="exact"/>
      </w:pPr>
    </w:p>
  </w:endnote>
  <w:endnote w:type="continuationSeparator" w:id="0">
    <w:p w14:paraId="113C2AE6" w14:textId="77777777" w:rsidR="00373BD4" w:rsidRDefault="00373BD4">
      <w:r>
        <w:t xml:space="preserve"> </w:t>
      </w:r>
    </w:p>
  </w:endnote>
  <w:endnote w:type="continuationNotice" w:id="1">
    <w:p w14:paraId="451F3A16" w14:textId="77777777" w:rsidR="00373BD4" w:rsidRDefault="00373B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gheBondLogoTypefac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00116"/>
      <w:docPartObj>
        <w:docPartGallery w:val="Page Numbers (Bottom of Page)"/>
        <w:docPartUnique/>
      </w:docPartObj>
    </w:sdtPr>
    <w:sdtEndPr/>
    <w:sdtContent>
      <w:sdt>
        <w:sdtPr>
          <w:id w:val="-408078605"/>
          <w:docPartObj>
            <w:docPartGallery w:val="Page Numbers (Top of Page)"/>
            <w:docPartUnique/>
          </w:docPartObj>
        </w:sdtPr>
        <w:sdtEndPr/>
        <w:sdtContent>
          <w:p w14:paraId="366BEB55" w14:textId="6F79C383" w:rsidR="009221D2" w:rsidRDefault="009221D2" w:rsidP="006619F7">
            <w:pPr>
              <w:pStyle w:val="Footer"/>
              <w:ind w:left="324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sidR="00056B1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B12">
              <w:rPr>
                <w:b/>
                <w:bCs/>
                <w:noProof/>
              </w:rPr>
              <w:t>7</w:t>
            </w:r>
            <w:r>
              <w:rPr>
                <w:b/>
                <w:bCs/>
                <w:sz w:val="24"/>
                <w:szCs w:val="24"/>
              </w:rPr>
              <w:fldChar w:fldCharType="end"/>
            </w:r>
          </w:p>
        </w:sdtContent>
      </w:sdt>
    </w:sdtContent>
  </w:sdt>
  <w:p w14:paraId="6F60123A" w14:textId="68664F96" w:rsidR="00AC4586" w:rsidRPr="009221D2" w:rsidRDefault="00AC4586" w:rsidP="00922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21877"/>
      <w:docPartObj>
        <w:docPartGallery w:val="Page Numbers (Bottom of Page)"/>
        <w:docPartUnique/>
      </w:docPartObj>
    </w:sdtPr>
    <w:sdtEndPr/>
    <w:sdtContent>
      <w:sdt>
        <w:sdtPr>
          <w:id w:val="-1769616900"/>
          <w:docPartObj>
            <w:docPartGallery w:val="Page Numbers (Top of Page)"/>
            <w:docPartUnique/>
          </w:docPartObj>
        </w:sdtPr>
        <w:sdtEndPr/>
        <w:sdtContent>
          <w:p w14:paraId="6FFF6605" w14:textId="7F7DF9BD" w:rsidR="008D7FC7" w:rsidRDefault="008D7F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6B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B12">
              <w:rPr>
                <w:b/>
                <w:bCs/>
                <w:noProof/>
              </w:rPr>
              <w:t>7</w:t>
            </w:r>
            <w:r>
              <w:rPr>
                <w:b/>
                <w:bCs/>
                <w:sz w:val="24"/>
                <w:szCs w:val="24"/>
              </w:rPr>
              <w:fldChar w:fldCharType="end"/>
            </w:r>
          </w:p>
        </w:sdtContent>
      </w:sdt>
    </w:sdtContent>
  </w:sdt>
  <w:p w14:paraId="4A86B325" w14:textId="77777777" w:rsidR="006A1BE9" w:rsidRPr="006A1BE9" w:rsidRDefault="006A1BE9" w:rsidP="006A1BE9">
    <w:pPr>
      <w:autoSpaceDE w:val="0"/>
      <w:autoSpaceDN w:val="0"/>
      <w:adjustRightInd w:val="0"/>
      <w:jc w:val="center"/>
      <w:rPr>
        <w:rFonts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1E511" w14:textId="77777777" w:rsidR="00373BD4" w:rsidRDefault="00373BD4">
      <w:r>
        <w:separator/>
      </w:r>
    </w:p>
  </w:footnote>
  <w:footnote w:type="continuationSeparator" w:id="0">
    <w:p w14:paraId="76E46640" w14:textId="77777777" w:rsidR="00373BD4" w:rsidRDefault="00373BD4">
      <w:r>
        <w:continuationSeparator/>
      </w:r>
    </w:p>
  </w:footnote>
  <w:footnote w:id="1">
    <w:p w14:paraId="35946BDA" w14:textId="77777777" w:rsidR="00125101" w:rsidRDefault="00125101" w:rsidP="00125101">
      <w:pPr>
        <w:pStyle w:val="FootnoteText"/>
      </w:pPr>
      <w:r>
        <w:rPr>
          <w:rStyle w:val="FootnoteReference"/>
        </w:rPr>
        <w:footnoteRef/>
      </w:r>
      <w:r>
        <w:t xml:space="preserve"> </w:t>
      </w:r>
      <w:r w:rsidRPr="00AF7B59">
        <w:t>During one storm, there was some water infiltration due to a poor roof seam, but that has been corrected and did not relate at all to the floodplain</w:t>
      </w:r>
      <w:r>
        <w:t xml:space="preserve">. </w:t>
      </w:r>
    </w:p>
    <w:p w14:paraId="61912C95" w14:textId="50381190" w:rsidR="00125101" w:rsidRDefault="001251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4A7D" w14:textId="5A38DE86" w:rsidR="008D7FC7" w:rsidRDefault="008D7FC7">
    <w:pPr>
      <w:pStyle w:val="Header"/>
    </w:pPr>
  </w:p>
  <w:p w14:paraId="099D02C9" w14:textId="66475942" w:rsidR="008D7FC7" w:rsidRDefault="008D7FC7" w:rsidP="008D7FC7">
    <w:pPr>
      <w:pStyle w:val="Header"/>
      <w:spacing w:after="0"/>
    </w:pPr>
    <w:r>
      <w:t>Response to Fifth Order Late File, April 8, 2019</w:t>
    </w:r>
  </w:p>
  <w:p w14:paraId="5A383881" w14:textId="0731A73C" w:rsidR="008D7FC7" w:rsidRDefault="008D7FC7" w:rsidP="008D7FC7">
    <w:pPr>
      <w:pStyle w:val="Header"/>
      <w:spacing w:after="0"/>
    </w:pPr>
    <w:r>
      <w:t>DN 18-32231-CON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D408" w14:textId="4A679A3D" w:rsidR="007A76CE" w:rsidRPr="00A7460C" w:rsidRDefault="008D7FC7" w:rsidP="007A76CE">
    <w:pPr>
      <w:pStyle w:val="Header"/>
    </w:pPr>
    <w:r>
      <w:rPr>
        <w:noProof/>
        <w:color w:val="00001A"/>
        <w:sz w:val="24"/>
        <w:szCs w:val="24"/>
      </w:rPr>
      <w:drawing>
        <wp:anchor distT="0" distB="0" distL="114300" distR="114300" simplePos="0" relativeHeight="251659264" behindDoc="1" locked="0" layoutInCell="1" allowOverlap="1" wp14:anchorId="7313883F" wp14:editId="1877BE11">
          <wp:simplePos x="0" y="0"/>
          <wp:positionH relativeFrom="column">
            <wp:posOffset>5019675</wp:posOffset>
          </wp:positionH>
          <wp:positionV relativeFrom="paragraph">
            <wp:posOffset>308610</wp:posOffset>
          </wp:positionV>
          <wp:extent cx="1482811" cy="122292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373" t="2301" r="15263" b="46639"/>
                  <a:stretch/>
                </pic:blipFill>
                <pic:spPr bwMode="auto">
                  <a:xfrm>
                    <a:off x="0" y="0"/>
                    <a:ext cx="1482811" cy="12229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A831F0" w14:textId="49D4FE2C" w:rsidR="007A76CE" w:rsidRDefault="007A76CE" w:rsidP="007A7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D668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C4E5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5045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485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E8B8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801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8A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E00F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A80A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626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5EA6"/>
    <w:multiLevelType w:val="multilevel"/>
    <w:tmpl w:val="4A1ED80A"/>
    <w:styleLink w:val="BulletStyle"/>
    <w:lvl w:ilvl="0">
      <w:start w:val="1"/>
      <w:numFmt w:val="bullet"/>
      <w:lvlText w:val=""/>
      <w:lvlJc w:val="left"/>
      <w:pPr>
        <w:tabs>
          <w:tab w:val="num" w:pos="0"/>
        </w:tabs>
        <w:ind w:left="720" w:hanging="360"/>
      </w:pPr>
      <w:rPr>
        <w:rFonts w:ascii="Symbol" w:hAnsi="Symbol" w:hint="default"/>
        <w:sz w:val="20"/>
      </w:rPr>
    </w:lvl>
    <w:lvl w:ilvl="1">
      <w:start w:val="1"/>
      <w:numFmt w:val="bullet"/>
      <w:lvlText w:val="o"/>
      <w:lvlJc w:val="left"/>
      <w:pPr>
        <w:tabs>
          <w:tab w:val="num" w:pos="0"/>
        </w:tabs>
        <w:ind w:left="1080" w:hanging="360"/>
      </w:pPr>
      <w:rPr>
        <w:rFonts w:ascii="Symbol" w:hAnsi="Symbol" w:hint="default"/>
        <w:sz w:val="20"/>
      </w:rPr>
    </w:lvl>
    <w:lvl w:ilvl="2">
      <w:start w:val="1"/>
      <w:numFmt w:val="bullet"/>
      <w:lvlText w:val="▪"/>
      <w:lvlJc w:val="left"/>
      <w:pPr>
        <w:tabs>
          <w:tab w:val="num" w:pos="0"/>
        </w:tabs>
        <w:ind w:left="1440" w:hanging="360"/>
      </w:pPr>
      <w:rPr>
        <w:rFonts w:ascii="Verdana" w:hAnsi="Verdana" w:hint="default"/>
        <w:sz w:val="24"/>
      </w:rPr>
    </w:lvl>
    <w:lvl w:ilvl="3">
      <w:start w:val="1"/>
      <w:numFmt w:val="bullet"/>
      <w:lvlText w:val=""/>
      <w:lvlJc w:val="left"/>
      <w:pPr>
        <w:tabs>
          <w:tab w:val="num" w:pos="0"/>
        </w:tabs>
        <w:ind w:left="1800" w:hanging="360"/>
      </w:pPr>
      <w:rPr>
        <w:rFonts w:ascii="Symbol" w:hAnsi="Symbol" w:hint="default"/>
        <w:sz w:val="2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0B5A1AAC"/>
    <w:multiLevelType w:val="hybridMultilevel"/>
    <w:tmpl w:val="CF0A5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EE1195"/>
    <w:multiLevelType w:val="hybridMultilevel"/>
    <w:tmpl w:val="EB84AD66"/>
    <w:lvl w:ilvl="0" w:tplc="D590841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lvlText w:val="%1.%2.%3.%4.%5"/>
      <w:lvlJc w:val="left"/>
      <w:pPr>
        <w:tabs>
          <w:tab w:val="num" w:pos="1008"/>
        </w:tabs>
        <w:ind w:left="1008" w:hanging="1008"/>
      </w:pPr>
      <w:rPr>
        <w:caps w:val="0"/>
        <w:smallCaps/>
      </w:rPr>
    </w:lvl>
    <w:lvl w:ilvl="5">
      <w:start w:val="1"/>
      <w:numFmt w:val="decimal"/>
      <w:lvlText w:val="%1.%2.%3.%4.%5.%6"/>
      <w:lvlJc w:val="left"/>
      <w:pPr>
        <w:tabs>
          <w:tab w:val="num" w:pos="1152"/>
        </w:tabs>
        <w:ind w:left="1152" w:hanging="1152"/>
      </w:pPr>
      <w:rPr>
        <w:caps w:val="0"/>
        <w:smallCaps/>
      </w:rPr>
    </w:lvl>
    <w:lvl w:ilvl="6">
      <w:start w:val="1"/>
      <w:numFmt w:val="decimal"/>
      <w:lvlText w:val="%1.%2.%3.%4.%5.%6.%7"/>
      <w:lvlJc w:val="left"/>
      <w:pPr>
        <w:tabs>
          <w:tab w:val="num" w:pos="1296"/>
        </w:tabs>
        <w:ind w:left="1296" w:hanging="1296"/>
      </w:pPr>
      <w:rPr>
        <w:caps w:val="0"/>
        <w:smallCaps/>
      </w:rPr>
    </w:lvl>
    <w:lvl w:ilvl="7">
      <w:start w:val="1"/>
      <w:numFmt w:val="decimal"/>
      <w:lvlText w:val="%1.%2.%3.%4.%5.%6.%7.%8"/>
      <w:lvlJc w:val="left"/>
      <w:pPr>
        <w:tabs>
          <w:tab w:val="num" w:pos="1440"/>
        </w:tabs>
        <w:ind w:left="1440" w:hanging="1440"/>
      </w:pPr>
      <w:rPr>
        <w:caps w:val="0"/>
        <w:smallCaps/>
      </w:rPr>
    </w:lvl>
    <w:lvl w:ilvl="8">
      <w:start w:val="1"/>
      <w:numFmt w:val="decimal"/>
      <w:lvlText w:val="%1.%2.%3.%4.%5.%6.%7.%8.%9"/>
      <w:lvlJc w:val="left"/>
      <w:pPr>
        <w:tabs>
          <w:tab w:val="num" w:pos="1584"/>
        </w:tabs>
        <w:ind w:left="1584" w:hanging="1584"/>
      </w:pPr>
      <w:rPr>
        <w:caps w:val="0"/>
        <w:smallCaps/>
      </w:rPr>
    </w:lvl>
  </w:abstractNum>
  <w:abstractNum w:abstractNumId="14" w15:restartNumberingAfterBreak="0">
    <w:nsid w:val="32AD63A9"/>
    <w:multiLevelType w:val="multilevel"/>
    <w:tmpl w:val="2BA6ED8C"/>
    <w:lvl w:ilvl="0">
      <w:start w:val="1"/>
      <w:numFmt w:val="lowerRoman"/>
      <w:lvlText w:val="%1."/>
      <w:lvlJc w:val="left"/>
      <w:pPr>
        <w:tabs>
          <w:tab w:val="left" w:pos="1440"/>
        </w:tabs>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346116"/>
    <w:multiLevelType w:val="hybridMultilevel"/>
    <w:tmpl w:val="9C608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519B1"/>
    <w:multiLevelType w:val="hybridMultilevel"/>
    <w:tmpl w:val="A9021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AB021C"/>
    <w:multiLevelType w:val="hybridMultilevel"/>
    <w:tmpl w:val="5A387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5866D9"/>
    <w:multiLevelType w:val="multilevel"/>
    <w:tmpl w:val="86DABE82"/>
    <w:lvl w:ilvl="0">
      <w:start w:val="1"/>
      <w:numFmt w:val="decimal"/>
      <w:pStyle w:val="NumberedStyle"/>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Restart w:val="3"/>
      <w:lvlText w:val="%9."/>
      <w:lvlJc w:val="right"/>
      <w:pPr>
        <w:tabs>
          <w:tab w:val="num" w:pos="6480"/>
        </w:tabs>
        <w:ind w:left="6480" w:hanging="180"/>
      </w:pPr>
      <w:rPr>
        <w:rFonts w:hint="default"/>
      </w:rPr>
    </w:lvl>
  </w:abstractNum>
  <w:abstractNum w:abstractNumId="19" w15:restartNumberingAfterBreak="0">
    <w:nsid w:val="771835C2"/>
    <w:multiLevelType w:val="multilevel"/>
    <w:tmpl w:val="4A1ED80A"/>
    <w:numStyleLink w:val="BulletStyle"/>
  </w:abstractNum>
  <w:num w:numId="1">
    <w:abstractNumId w:val="17"/>
  </w:num>
  <w:num w:numId="2">
    <w:abstractNumId w:val="12"/>
  </w:num>
  <w:num w:numId="3">
    <w:abstractNumId w:val="18"/>
  </w:num>
  <w:num w:numId="4">
    <w:abstractNumId w:val="13"/>
  </w:num>
  <w:num w:numId="5">
    <w:abstractNumId w:val="13"/>
  </w:num>
  <w:num w:numId="6">
    <w:abstractNumId w:val="13"/>
  </w:num>
  <w:num w:numId="7">
    <w:abstractNumId w:val="10"/>
  </w:num>
  <w:num w:numId="8">
    <w:abstractNumId w:val="19"/>
  </w:num>
  <w:num w:numId="9">
    <w:abstractNumId w:val="10"/>
  </w:num>
  <w:num w:numId="10">
    <w:abstractNumId w:val="18"/>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7"/>
    <w:rsid w:val="00031FD8"/>
    <w:rsid w:val="00056B12"/>
    <w:rsid w:val="00060610"/>
    <w:rsid w:val="00080812"/>
    <w:rsid w:val="00083437"/>
    <w:rsid w:val="00085A6B"/>
    <w:rsid w:val="000946D7"/>
    <w:rsid w:val="00094D41"/>
    <w:rsid w:val="000A16DF"/>
    <w:rsid w:val="000B0211"/>
    <w:rsid w:val="000D2B9B"/>
    <w:rsid w:val="00125101"/>
    <w:rsid w:val="00132E97"/>
    <w:rsid w:val="00135DCF"/>
    <w:rsid w:val="00155729"/>
    <w:rsid w:val="001868CC"/>
    <w:rsid w:val="001D2006"/>
    <w:rsid w:val="001E3668"/>
    <w:rsid w:val="00223DE5"/>
    <w:rsid w:val="00230A46"/>
    <w:rsid w:val="00244E44"/>
    <w:rsid w:val="002674AB"/>
    <w:rsid w:val="00286314"/>
    <w:rsid w:val="002C4E57"/>
    <w:rsid w:val="00302737"/>
    <w:rsid w:val="00307992"/>
    <w:rsid w:val="00314BEC"/>
    <w:rsid w:val="00330544"/>
    <w:rsid w:val="00366BCB"/>
    <w:rsid w:val="00373BD4"/>
    <w:rsid w:val="00374799"/>
    <w:rsid w:val="003961BB"/>
    <w:rsid w:val="00397AB7"/>
    <w:rsid w:val="003C4546"/>
    <w:rsid w:val="003F02CD"/>
    <w:rsid w:val="00400B39"/>
    <w:rsid w:val="00411460"/>
    <w:rsid w:val="00414226"/>
    <w:rsid w:val="00427BA4"/>
    <w:rsid w:val="00427E7E"/>
    <w:rsid w:val="00443AB7"/>
    <w:rsid w:val="00446F50"/>
    <w:rsid w:val="00465091"/>
    <w:rsid w:val="00477D61"/>
    <w:rsid w:val="004849CA"/>
    <w:rsid w:val="004949E5"/>
    <w:rsid w:val="00494A0F"/>
    <w:rsid w:val="004B2291"/>
    <w:rsid w:val="004C1F29"/>
    <w:rsid w:val="004C573C"/>
    <w:rsid w:val="004C7AD2"/>
    <w:rsid w:val="004D0933"/>
    <w:rsid w:val="00500398"/>
    <w:rsid w:val="00500E45"/>
    <w:rsid w:val="005379B3"/>
    <w:rsid w:val="00537B3D"/>
    <w:rsid w:val="005477A2"/>
    <w:rsid w:val="00564857"/>
    <w:rsid w:val="005B0BB8"/>
    <w:rsid w:val="005B5BF7"/>
    <w:rsid w:val="005F4B1A"/>
    <w:rsid w:val="00605FF3"/>
    <w:rsid w:val="00624925"/>
    <w:rsid w:val="0062673E"/>
    <w:rsid w:val="00643D89"/>
    <w:rsid w:val="0064491E"/>
    <w:rsid w:val="00645801"/>
    <w:rsid w:val="006473B9"/>
    <w:rsid w:val="0065609A"/>
    <w:rsid w:val="006619F7"/>
    <w:rsid w:val="006628AF"/>
    <w:rsid w:val="00685F0B"/>
    <w:rsid w:val="006861DC"/>
    <w:rsid w:val="006A1BE9"/>
    <w:rsid w:val="006A2EFB"/>
    <w:rsid w:val="006A3F6C"/>
    <w:rsid w:val="006B684B"/>
    <w:rsid w:val="006C79E5"/>
    <w:rsid w:val="006D5B89"/>
    <w:rsid w:val="006E0CC3"/>
    <w:rsid w:val="006E47C5"/>
    <w:rsid w:val="006F7B6B"/>
    <w:rsid w:val="00712125"/>
    <w:rsid w:val="00722828"/>
    <w:rsid w:val="007254AE"/>
    <w:rsid w:val="007357E2"/>
    <w:rsid w:val="00745E43"/>
    <w:rsid w:val="00774A62"/>
    <w:rsid w:val="007A0356"/>
    <w:rsid w:val="007A76CE"/>
    <w:rsid w:val="00803276"/>
    <w:rsid w:val="0080453D"/>
    <w:rsid w:val="008073DF"/>
    <w:rsid w:val="0082066F"/>
    <w:rsid w:val="008321AC"/>
    <w:rsid w:val="00836984"/>
    <w:rsid w:val="00861125"/>
    <w:rsid w:val="008612EF"/>
    <w:rsid w:val="00872632"/>
    <w:rsid w:val="008758D6"/>
    <w:rsid w:val="00876F6A"/>
    <w:rsid w:val="0089485D"/>
    <w:rsid w:val="008B0761"/>
    <w:rsid w:val="008D58EE"/>
    <w:rsid w:val="008D7FC7"/>
    <w:rsid w:val="00904E8B"/>
    <w:rsid w:val="00911B0C"/>
    <w:rsid w:val="009221D2"/>
    <w:rsid w:val="00941D74"/>
    <w:rsid w:val="009531B8"/>
    <w:rsid w:val="0096151E"/>
    <w:rsid w:val="0096529C"/>
    <w:rsid w:val="009712AF"/>
    <w:rsid w:val="00981AA6"/>
    <w:rsid w:val="00986F39"/>
    <w:rsid w:val="00991D33"/>
    <w:rsid w:val="009A5250"/>
    <w:rsid w:val="009A710A"/>
    <w:rsid w:val="009B3029"/>
    <w:rsid w:val="009B47F3"/>
    <w:rsid w:val="009D23B6"/>
    <w:rsid w:val="009D4629"/>
    <w:rsid w:val="009E16A7"/>
    <w:rsid w:val="009E2637"/>
    <w:rsid w:val="009E38E3"/>
    <w:rsid w:val="00A01E4B"/>
    <w:rsid w:val="00A21CA2"/>
    <w:rsid w:val="00A4157C"/>
    <w:rsid w:val="00A563F0"/>
    <w:rsid w:val="00A61161"/>
    <w:rsid w:val="00AA36FD"/>
    <w:rsid w:val="00AA66D9"/>
    <w:rsid w:val="00AB1889"/>
    <w:rsid w:val="00AB4F42"/>
    <w:rsid w:val="00AC00C9"/>
    <w:rsid w:val="00AC4586"/>
    <w:rsid w:val="00AD14B0"/>
    <w:rsid w:val="00AD42D6"/>
    <w:rsid w:val="00AF2B85"/>
    <w:rsid w:val="00AF4F8F"/>
    <w:rsid w:val="00AF6122"/>
    <w:rsid w:val="00AF6956"/>
    <w:rsid w:val="00B011F0"/>
    <w:rsid w:val="00B21306"/>
    <w:rsid w:val="00B22A00"/>
    <w:rsid w:val="00B47A4E"/>
    <w:rsid w:val="00B63DE0"/>
    <w:rsid w:val="00B647F0"/>
    <w:rsid w:val="00B93D9F"/>
    <w:rsid w:val="00BC12C7"/>
    <w:rsid w:val="00BC5E70"/>
    <w:rsid w:val="00BD0C5D"/>
    <w:rsid w:val="00BD39C9"/>
    <w:rsid w:val="00BE36E0"/>
    <w:rsid w:val="00C0356B"/>
    <w:rsid w:val="00C1577C"/>
    <w:rsid w:val="00C36DF3"/>
    <w:rsid w:val="00C409C1"/>
    <w:rsid w:val="00C4275E"/>
    <w:rsid w:val="00C52642"/>
    <w:rsid w:val="00C553CD"/>
    <w:rsid w:val="00C57484"/>
    <w:rsid w:val="00C60A19"/>
    <w:rsid w:val="00C763C8"/>
    <w:rsid w:val="00C97B5C"/>
    <w:rsid w:val="00CA66F7"/>
    <w:rsid w:val="00CD1117"/>
    <w:rsid w:val="00CD4873"/>
    <w:rsid w:val="00CE20A3"/>
    <w:rsid w:val="00D03F60"/>
    <w:rsid w:val="00D048ED"/>
    <w:rsid w:val="00D057FA"/>
    <w:rsid w:val="00D31421"/>
    <w:rsid w:val="00D46B6C"/>
    <w:rsid w:val="00D64EB8"/>
    <w:rsid w:val="00D71DF0"/>
    <w:rsid w:val="00D81BB8"/>
    <w:rsid w:val="00D82BFD"/>
    <w:rsid w:val="00D94642"/>
    <w:rsid w:val="00DA0C41"/>
    <w:rsid w:val="00DA1216"/>
    <w:rsid w:val="00DA3169"/>
    <w:rsid w:val="00DA408A"/>
    <w:rsid w:val="00DA7D79"/>
    <w:rsid w:val="00DA7D88"/>
    <w:rsid w:val="00DB1797"/>
    <w:rsid w:val="00DF446A"/>
    <w:rsid w:val="00E13339"/>
    <w:rsid w:val="00E160E3"/>
    <w:rsid w:val="00E46299"/>
    <w:rsid w:val="00E527E6"/>
    <w:rsid w:val="00E57C09"/>
    <w:rsid w:val="00E8206B"/>
    <w:rsid w:val="00EA3779"/>
    <w:rsid w:val="00EA4CFB"/>
    <w:rsid w:val="00EA546D"/>
    <w:rsid w:val="00ED2BE1"/>
    <w:rsid w:val="00EE0F86"/>
    <w:rsid w:val="00F04449"/>
    <w:rsid w:val="00F263C8"/>
    <w:rsid w:val="00F43A2D"/>
    <w:rsid w:val="00F72612"/>
    <w:rsid w:val="00F92725"/>
    <w:rsid w:val="00FA28A2"/>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2676D5"/>
  <w15:chartTrackingRefBased/>
  <w15:docId w15:val="{8E092B0C-EECF-4454-A2E4-7B17FB80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Normal"/>
    <w:qFormat/>
    <w:rsid w:val="003961BB"/>
    <w:pPr>
      <w:spacing w:after="240"/>
      <w:jc w:val="both"/>
    </w:pPr>
    <w:rPr>
      <w:rFonts w:ascii="Verdana" w:hAnsi="Verdana"/>
    </w:rPr>
  </w:style>
  <w:style w:type="paragraph" w:styleId="Heading1">
    <w:name w:val="heading 1"/>
    <w:aliases w:val="_Heading 1"/>
    <w:basedOn w:val="Normal"/>
    <w:next w:val="Normal"/>
    <w:link w:val="Heading1Char"/>
    <w:qFormat/>
    <w:rsid w:val="00302737"/>
    <w:pPr>
      <w:keepNext/>
      <w:numPr>
        <w:numId w:val="14"/>
      </w:numPr>
      <w:spacing w:before="240" w:after="60"/>
      <w:outlineLvl w:val="0"/>
    </w:pPr>
    <w:rPr>
      <w:b/>
      <w:kern w:val="28"/>
      <w:sz w:val="36"/>
    </w:rPr>
  </w:style>
  <w:style w:type="paragraph" w:styleId="Heading2">
    <w:name w:val="heading 2"/>
    <w:aliases w:val="_Heading 2"/>
    <w:basedOn w:val="Normal"/>
    <w:next w:val="Normal"/>
    <w:link w:val="Heading2Char"/>
    <w:qFormat/>
    <w:rsid w:val="00911B0C"/>
    <w:pPr>
      <w:keepNext/>
      <w:numPr>
        <w:ilvl w:val="1"/>
        <w:numId w:val="14"/>
      </w:numPr>
      <w:spacing w:before="240" w:after="60"/>
      <w:outlineLvl w:val="1"/>
    </w:pPr>
    <w:rPr>
      <w:b/>
      <w:sz w:val="28"/>
    </w:rPr>
  </w:style>
  <w:style w:type="paragraph" w:styleId="Heading3">
    <w:name w:val="heading 3"/>
    <w:aliases w:val="_Heading 3"/>
    <w:basedOn w:val="Normal"/>
    <w:next w:val="Normal"/>
    <w:link w:val="Heading3Char"/>
    <w:qFormat/>
    <w:rsid w:val="00911B0C"/>
    <w:pPr>
      <w:keepNext/>
      <w:numPr>
        <w:ilvl w:val="2"/>
        <w:numId w:val="14"/>
      </w:numPr>
      <w:spacing w:before="240" w:after="60"/>
      <w:outlineLvl w:val="2"/>
    </w:pPr>
    <w:rPr>
      <w:b/>
      <w:sz w:val="22"/>
    </w:rPr>
  </w:style>
  <w:style w:type="paragraph" w:styleId="Heading4">
    <w:name w:val="heading 4"/>
    <w:aliases w:val="_Heading 4"/>
    <w:next w:val="Normal"/>
    <w:link w:val="Heading4Char"/>
    <w:qFormat/>
    <w:rsid w:val="00911B0C"/>
    <w:pPr>
      <w:keepNext/>
      <w:numPr>
        <w:ilvl w:val="3"/>
        <w:numId w:val="14"/>
      </w:numPr>
      <w:spacing w:before="240" w:after="60"/>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F0B"/>
    <w:pPr>
      <w:tabs>
        <w:tab w:val="center" w:pos="4680"/>
        <w:tab w:val="right" w:pos="9360"/>
      </w:tabs>
    </w:pPr>
  </w:style>
  <w:style w:type="character" w:customStyle="1" w:styleId="FooterChar">
    <w:name w:val="Footer Char"/>
    <w:link w:val="Footer"/>
    <w:uiPriority w:val="99"/>
    <w:rsid w:val="00685F0B"/>
    <w:rPr>
      <w:rFonts w:ascii="Verdana" w:hAnsi="Verdana"/>
    </w:rPr>
  </w:style>
  <w:style w:type="paragraph" w:styleId="Header">
    <w:name w:val="header"/>
    <w:basedOn w:val="Normal"/>
    <w:link w:val="HeaderChar"/>
    <w:uiPriority w:val="99"/>
    <w:pPr>
      <w:tabs>
        <w:tab w:val="center" w:pos="4320"/>
        <w:tab w:val="right" w:pos="8640"/>
      </w:tabs>
    </w:pPr>
  </w:style>
  <w:style w:type="paragraph" w:customStyle="1" w:styleId="AddresseeStyle">
    <w:name w:val="_AddresseeStyle"/>
    <w:basedOn w:val="Normal"/>
    <w:rsid w:val="00911B0C"/>
    <w:pPr>
      <w:tabs>
        <w:tab w:val="left" w:pos="1680"/>
      </w:tabs>
      <w:spacing w:after="120"/>
      <w:ind w:left="1710" w:hanging="1710"/>
    </w:pPr>
  </w:style>
  <w:style w:type="character" w:customStyle="1" w:styleId="HeadingStylePage2">
    <w:name w:val="_HeadingStylePage2"/>
    <w:qFormat/>
    <w:rsid w:val="00911B0C"/>
    <w:rPr>
      <w:sz w:val="16"/>
      <w:szCs w:val="16"/>
    </w:rPr>
  </w:style>
  <w:style w:type="paragraph" w:customStyle="1" w:styleId="BorderLine">
    <w:name w:val="_BorderLine"/>
    <w:basedOn w:val="Normal"/>
    <w:qFormat/>
    <w:rsid w:val="00911B0C"/>
    <w:pPr>
      <w:pBdr>
        <w:bottom w:val="single" w:sz="8" w:space="1" w:color="auto"/>
      </w:pBdr>
    </w:pPr>
  </w:style>
  <w:style w:type="numbering" w:customStyle="1" w:styleId="BulletStyle">
    <w:name w:val="_BulletStyle"/>
    <w:rsid w:val="00911B0C"/>
    <w:pPr>
      <w:numPr>
        <w:numId w:val="7"/>
      </w:numPr>
    </w:pPr>
  </w:style>
  <w:style w:type="paragraph" w:customStyle="1" w:styleId="Unnumbered1">
    <w:name w:val="_Unnumbered 1"/>
    <w:next w:val="Normal"/>
    <w:qFormat/>
    <w:rsid w:val="00911B0C"/>
    <w:pPr>
      <w:keepNext/>
      <w:keepLines/>
      <w:spacing w:before="240" w:after="60"/>
    </w:pPr>
    <w:rPr>
      <w:rFonts w:ascii="Verdana" w:hAnsi="Verdana"/>
      <w:b/>
      <w:sz w:val="36"/>
    </w:rPr>
  </w:style>
  <w:style w:type="paragraph" w:customStyle="1" w:styleId="FooterStyle">
    <w:name w:val="_FooterStyle"/>
    <w:basedOn w:val="Normal"/>
    <w:rsid w:val="00911B0C"/>
    <w:pPr>
      <w:tabs>
        <w:tab w:val="right" w:pos="8640"/>
      </w:tabs>
      <w:spacing w:after="0"/>
      <w:jc w:val="left"/>
    </w:pPr>
    <w:rPr>
      <w:rFonts w:cs="Arial"/>
      <w:bCs/>
      <w:noProof/>
      <w:sz w:val="12"/>
      <w:szCs w:val="16"/>
    </w:rPr>
  </w:style>
  <w:style w:type="paragraph" w:customStyle="1" w:styleId="HeadingStyle">
    <w:name w:val="_HeadingStyle"/>
    <w:basedOn w:val="Normal"/>
    <w:rsid w:val="00911B0C"/>
    <w:pPr>
      <w:pBdr>
        <w:bottom w:val="single" w:sz="8" w:space="1" w:color="auto"/>
      </w:pBdr>
      <w:tabs>
        <w:tab w:val="right" w:pos="9360"/>
      </w:tabs>
      <w:spacing w:after="0"/>
    </w:pPr>
    <w:rPr>
      <w:smallCaps/>
      <w:sz w:val="24"/>
      <w:szCs w:val="24"/>
    </w:rPr>
  </w:style>
  <w:style w:type="paragraph" w:customStyle="1" w:styleId="Unnumbered2">
    <w:name w:val="_Unnumbered 2"/>
    <w:next w:val="Normal"/>
    <w:qFormat/>
    <w:rsid w:val="00911B0C"/>
    <w:pPr>
      <w:keepNext/>
      <w:keepLines/>
      <w:spacing w:before="240" w:after="60"/>
    </w:pPr>
    <w:rPr>
      <w:rFonts w:ascii="Verdana" w:hAnsi="Verdana"/>
      <w:b/>
      <w:sz w:val="28"/>
    </w:rPr>
  </w:style>
  <w:style w:type="paragraph" w:customStyle="1" w:styleId="NumberedStyle">
    <w:name w:val="_NumberedStyle"/>
    <w:basedOn w:val="Normal"/>
    <w:rsid w:val="00911B0C"/>
    <w:pPr>
      <w:numPr>
        <w:numId w:val="10"/>
      </w:numPr>
      <w:spacing w:after="120"/>
    </w:pPr>
  </w:style>
  <w:style w:type="paragraph" w:customStyle="1" w:styleId="Unnumbered3">
    <w:name w:val="_Unnumbered 3"/>
    <w:next w:val="Normal"/>
    <w:qFormat/>
    <w:rsid w:val="00911B0C"/>
    <w:pPr>
      <w:keepNext/>
      <w:keepLines/>
      <w:spacing w:before="240" w:after="60"/>
    </w:pPr>
    <w:rPr>
      <w:rFonts w:ascii="Verdana" w:hAnsi="Verdana"/>
      <w:b/>
      <w:sz w:val="22"/>
    </w:rPr>
  </w:style>
  <w:style w:type="paragraph" w:customStyle="1" w:styleId="SubjectStyle">
    <w:name w:val="_SubjectStyle"/>
    <w:basedOn w:val="Normal"/>
    <w:rsid w:val="00911B0C"/>
    <w:pPr>
      <w:tabs>
        <w:tab w:val="left" w:pos="1680"/>
      </w:tabs>
      <w:spacing w:before="240"/>
    </w:pPr>
    <w:rPr>
      <w:rFonts w:cs="Arial"/>
      <w:b/>
      <w:sz w:val="28"/>
      <w:szCs w:val="32"/>
    </w:rPr>
  </w:style>
  <w:style w:type="paragraph" w:customStyle="1" w:styleId="TBLogoStyle">
    <w:name w:val="_TBLogoStyle"/>
    <w:rsid w:val="00911B0C"/>
    <w:pPr>
      <w:widowControl w:val="0"/>
      <w:jc w:val="right"/>
    </w:pPr>
    <w:rPr>
      <w:rFonts w:ascii="TigheBondLogoTypeface" w:hAnsi="TigheBondLogoTypeface"/>
      <w:sz w:val="28"/>
      <w:szCs w:val="24"/>
    </w:rPr>
  </w:style>
  <w:style w:type="paragraph" w:customStyle="1" w:styleId="ToFromStyle">
    <w:name w:val="_ToFromStyle"/>
    <w:basedOn w:val="Normal"/>
    <w:autoRedefine/>
    <w:rsid w:val="00911B0C"/>
    <w:pPr>
      <w:tabs>
        <w:tab w:val="left" w:pos="1680"/>
      </w:tabs>
      <w:spacing w:after="0"/>
    </w:pPr>
    <w:rPr>
      <w:b/>
      <w:smallCaps/>
    </w:rPr>
  </w:style>
  <w:style w:type="character" w:customStyle="1" w:styleId="Heading2Char">
    <w:name w:val="Heading 2 Char"/>
    <w:aliases w:val="_Heading 2 Char"/>
    <w:link w:val="Heading2"/>
    <w:rsid w:val="00D46B6C"/>
    <w:rPr>
      <w:rFonts w:ascii="Verdana" w:hAnsi="Verdana"/>
      <w:b/>
      <w:sz w:val="28"/>
    </w:rPr>
  </w:style>
  <w:style w:type="character" w:customStyle="1" w:styleId="Heading3Char">
    <w:name w:val="Heading 3 Char"/>
    <w:aliases w:val="_Heading 3 Char"/>
    <w:link w:val="Heading3"/>
    <w:rsid w:val="00D46B6C"/>
    <w:rPr>
      <w:rFonts w:ascii="Verdana" w:hAnsi="Verdana"/>
      <w:b/>
      <w:sz w:val="22"/>
    </w:rPr>
  </w:style>
  <w:style w:type="character" w:customStyle="1" w:styleId="Heading4Char">
    <w:name w:val="Heading 4 Char"/>
    <w:aliases w:val="_Heading 4 Char"/>
    <w:link w:val="Heading4"/>
    <w:rsid w:val="00D46B6C"/>
    <w:rPr>
      <w:rFonts w:ascii="Verdana" w:hAnsi="Verdana"/>
      <w:b/>
      <w:lang w:val="en-US" w:eastAsia="en-US" w:bidi="ar-SA"/>
    </w:rPr>
  </w:style>
  <w:style w:type="paragraph" w:customStyle="1" w:styleId="Unnumbered4">
    <w:name w:val="_Unnumbered 4"/>
    <w:next w:val="Normal"/>
    <w:qFormat/>
    <w:rsid w:val="00911B0C"/>
    <w:pPr>
      <w:keepNext/>
      <w:keepLines/>
      <w:spacing w:before="240" w:after="60"/>
    </w:pPr>
    <w:rPr>
      <w:rFonts w:ascii="Verdana" w:hAnsi="Verdana"/>
      <w:b/>
    </w:rPr>
  </w:style>
  <w:style w:type="character" w:customStyle="1" w:styleId="Heading1Char">
    <w:name w:val="Heading 1 Char"/>
    <w:aliases w:val="_Heading 1 Char"/>
    <w:link w:val="Heading1"/>
    <w:rsid w:val="00302737"/>
    <w:rPr>
      <w:rFonts w:ascii="Verdana" w:hAnsi="Verdana"/>
      <w:b/>
      <w:kern w:val="28"/>
      <w:sz w:val="36"/>
    </w:rPr>
  </w:style>
  <w:style w:type="character" w:styleId="Hyperlink">
    <w:name w:val="Hyperlink"/>
    <w:rsid w:val="00876F6A"/>
    <w:rPr>
      <w:color w:val="0563C1"/>
      <w:u w:val="single"/>
    </w:rPr>
  </w:style>
  <w:style w:type="paragraph" w:styleId="BalloonText">
    <w:name w:val="Balloon Text"/>
    <w:basedOn w:val="Normal"/>
    <w:link w:val="BalloonTextChar"/>
    <w:rsid w:val="00991D33"/>
    <w:pPr>
      <w:spacing w:after="0"/>
    </w:pPr>
    <w:rPr>
      <w:rFonts w:ascii="Segoe UI" w:hAnsi="Segoe UI" w:cs="Segoe UI"/>
      <w:sz w:val="18"/>
      <w:szCs w:val="18"/>
    </w:rPr>
  </w:style>
  <w:style w:type="character" w:customStyle="1" w:styleId="BalloonTextChar">
    <w:name w:val="Balloon Text Char"/>
    <w:link w:val="BalloonText"/>
    <w:rsid w:val="00991D33"/>
    <w:rPr>
      <w:rFonts w:ascii="Segoe UI" w:hAnsi="Segoe UI" w:cs="Segoe UI"/>
      <w:sz w:val="18"/>
      <w:szCs w:val="18"/>
    </w:rPr>
  </w:style>
  <w:style w:type="paragraph" w:styleId="ListParagraph">
    <w:name w:val="List Paragraph"/>
    <w:basedOn w:val="Normal"/>
    <w:uiPriority w:val="34"/>
    <w:qFormat/>
    <w:rsid w:val="00314BEC"/>
    <w:pPr>
      <w:ind w:left="720"/>
      <w:contextualSpacing/>
    </w:pPr>
  </w:style>
  <w:style w:type="character" w:styleId="CommentReference">
    <w:name w:val="annotation reference"/>
    <w:basedOn w:val="DefaultParagraphFont"/>
    <w:rsid w:val="006B684B"/>
    <w:rPr>
      <w:sz w:val="16"/>
      <w:szCs w:val="16"/>
    </w:rPr>
  </w:style>
  <w:style w:type="paragraph" w:styleId="CommentText">
    <w:name w:val="annotation text"/>
    <w:basedOn w:val="Normal"/>
    <w:link w:val="CommentTextChar"/>
    <w:rsid w:val="006B684B"/>
  </w:style>
  <w:style w:type="character" w:customStyle="1" w:styleId="CommentTextChar">
    <w:name w:val="Comment Text Char"/>
    <w:basedOn w:val="DefaultParagraphFont"/>
    <w:link w:val="CommentText"/>
    <w:rsid w:val="006B684B"/>
    <w:rPr>
      <w:rFonts w:ascii="Verdana" w:hAnsi="Verdana"/>
    </w:rPr>
  </w:style>
  <w:style w:type="paragraph" w:styleId="CommentSubject">
    <w:name w:val="annotation subject"/>
    <w:basedOn w:val="CommentText"/>
    <w:next w:val="CommentText"/>
    <w:link w:val="CommentSubjectChar"/>
    <w:rsid w:val="006B684B"/>
    <w:rPr>
      <w:b/>
      <w:bCs/>
    </w:rPr>
  </w:style>
  <w:style w:type="character" w:customStyle="1" w:styleId="CommentSubjectChar">
    <w:name w:val="Comment Subject Char"/>
    <w:basedOn w:val="CommentTextChar"/>
    <w:link w:val="CommentSubject"/>
    <w:rsid w:val="006B684B"/>
    <w:rPr>
      <w:rFonts w:ascii="Verdana" w:hAnsi="Verdana"/>
      <w:b/>
      <w:bCs/>
    </w:rPr>
  </w:style>
  <w:style w:type="character" w:customStyle="1" w:styleId="HeaderChar">
    <w:name w:val="Header Char"/>
    <w:basedOn w:val="DefaultParagraphFont"/>
    <w:link w:val="Header"/>
    <w:uiPriority w:val="99"/>
    <w:rsid w:val="008D7FC7"/>
    <w:rPr>
      <w:rFonts w:ascii="Verdana" w:hAnsi="Verdana"/>
    </w:rPr>
  </w:style>
  <w:style w:type="paragraph" w:styleId="FootnoteText">
    <w:name w:val="footnote text"/>
    <w:basedOn w:val="Normal"/>
    <w:link w:val="FootnoteTextChar"/>
    <w:rsid w:val="00125101"/>
    <w:pPr>
      <w:spacing w:after="0"/>
    </w:pPr>
  </w:style>
  <w:style w:type="character" w:customStyle="1" w:styleId="FootnoteTextChar">
    <w:name w:val="Footnote Text Char"/>
    <w:basedOn w:val="DefaultParagraphFont"/>
    <w:link w:val="FootnoteText"/>
    <w:rsid w:val="00125101"/>
    <w:rPr>
      <w:rFonts w:ascii="Verdana" w:hAnsi="Verdana"/>
    </w:rPr>
  </w:style>
  <w:style w:type="character" w:styleId="FootnoteReference">
    <w:name w:val="footnote reference"/>
    <w:basedOn w:val="DefaultParagraphFont"/>
    <w:rsid w:val="0012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newhavenct.gov/gov/depts/ed/current/long_wharf.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884E-FE54-49FB-8DE1-ED930F28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2957</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Links>
    <vt:vector size="6" baseType="variant">
      <vt:variant>
        <vt:i4>4980835</vt:i4>
      </vt:variant>
      <vt:variant>
        <vt:i4>3</vt:i4>
      </vt:variant>
      <vt:variant>
        <vt:i4>0</vt:i4>
      </vt:variant>
      <vt:variant>
        <vt:i4>5</vt:i4>
      </vt:variant>
      <vt:variant>
        <vt:lpwstr>\\srv\data\users\CC\Template\www.tighebond.com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Canas</dc:creator>
  <cp:keywords/>
  <cp:lastModifiedBy>Topalian, Jeryl</cp:lastModifiedBy>
  <cp:revision>2</cp:revision>
  <cp:lastPrinted>2016-04-25T21:01:00Z</cp:lastPrinted>
  <dcterms:created xsi:type="dcterms:W3CDTF">2019-04-08T18:27:00Z</dcterms:created>
  <dcterms:modified xsi:type="dcterms:W3CDTF">2019-04-08T18:27:00Z</dcterms:modified>
</cp:coreProperties>
</file>