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34C2" w14:textId="2F628CF6" w:rsidR="00831CA7" w:rsidRDefault="007176A9">
      <w:bookmarkStart w:id="0" w:name="_GoBack"/>
      <w:bookmarkEnd w:id="0"/>
      <w:r w:rsidRPr="00831CA7">
        <w:rPr>
          <w:noProof/>
        </w:rPr>
        <w:drawing>
          <wp:anchor distT="0" distB="0" distL="114300" distR="114300" simplePos="0" relativeHeight="251658240" behindDoc="0" locked="0" layoutInCell="1" allowOverlap="1" wp14:anchorId="307C114D" wp14:editId="47CAC143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714500" cy="653415"/>
            <wp:effectExtent l="0" t="0" r="12700" b="6985"/>
            <wp:wrapTight wrapText="bothSides">
              <wp:wrapPolygon edited="0">
                <wp:start x="0" y="0"/>
                <wp:lineTo x="0" y="20991"/>
                <wp:lineTo x="21440" y="20991"/>
                <wp:lineTo x="21440" y="0"/>
                <wp:lineTo x="0" y="0"/>
              </wp:wrapPolygon>
            </wp:wrapTight>
            <wp:docPr id="1" name="Picture 1" descr="Macintosh HD:Users:ellenandrews:Dropbox:graphics:CTHPP logos:Logo:CTHPP Logo color (2)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lenandrews:Dropbox:graphics:CTHPP logos:Logo:CTHPP Logo color (2)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4895B" w14:textId="77777777" w:rsidR="006E0157" w:rsidRDefault="006E0157">
      <w:pPr>
        <w:rPr>
          <w:rFonts w:ascii="Trebuchet MS" w:hAnsi="Trebuchet MS" w:cs="Arial"/>
          <w:sz w:val="32"/>
          <w:szCs w:val="32"/>
        </w:rPr>
      </w:pPr>
    </w:p>
    <w:p w14:paraId="0C163A2F" w14:textId="4FBDBDF3" w:rsidR="006E0157" w:rsidRDefault="006E0157"/>
    <w:p w14:paraId="796169FA" w14:textId="3D2CF91B" w:rsidR="00F8281E" w:rsidRDefault="006E015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62CA7" wp14:editId="081DFEE5">
                <wp:simplePos x="0" y="0"/>
                <wp:positionH relativeFrom="column">
                  <wp:posOffset>12700</wp:posOffset>
                </wp:positionH>
                <wp:positionV relativeFrom="paragraph">
                  <wp:posOffset>92710</wp:posOffset>
                </wp:positionV>
                <wp:extent cx="4000500" cy="7620"/>
                <wp:effectExtent l="0" t="0" r="12700" b="431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FD564" id="Straight Connector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7.3pt" to="316pt,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" strokecolor="black [3213]" strokeweight="2pt"/>
            </w:pict>
          </mc:Fallback>
        </mc:AlternateContent>
      </w:r>
    </w:p>
    <w:p w14:paraId="3BDEEAF5" w14:textId="50F31DD0" w:rsidR="006E0157" w:rsidRPr="006E0157" w:rsidRDefault="00A122CA" w:rsidP="006E0157">
      <w:pPr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September 2017</w:t>
      </w:r>
    </w:p>
    <w:p w14:paraId="70C1264E" w14:textId="77777777" w:rsidR="00E02FCB" w:rsidRDefault="00E02FCB" w:rsidP="00E02FCB">
      <w:pPr>
        <w:rPr>
          <w:rFonts w:ascii="Franklin Gothic Medium" w:hAnsi="Franklin Gothic Medium"/>
          <w:b/>
          <w:sz w:val="32"/>
          <w:szCs w:val="32"/>
        </w:rPr>
      </w:pPr>
    </w:p>
    <w:p w14:paraId="2BDC3A15" w14:textId="2D1AA5B7" w:rsidR="000D7F7E" w:rsidRPr="00CE2F35" w:rsidRDefault="000D7F7E" w:rsidP="000D7F7E">
      <w:pPr>
        <w:widowControl w:val="0"/>
        <w:autoSpaceDE w:val="0"/>
        <w:autoSpaceDN w:val="0"/>
        <w:adjustRightInd w:val="0"/>
        <w:spacing w:after="240" w:line="280" w:lineRule="atLeast"/>
        <w:rPr>
          <w:rFonts w:ascii="Franklin Gothic Medium" w:hAnsi="Franklin Gothic Medium"/>
          <w:sz w:val="40"/>
          <w:szCs w:val="40"/>
        </w:rPr>
      </w:pPr>
      <w:r w:rsidRPr="00CE2F35">
        <w:rPr>
          <w:rFonts w:ascii="Franklin Gothic Medium" w:hAnsi="Franklin Gothic Medium"/>
          <w:sz w:val="40"/>
          <w:szCs w:val="40"/>
        </w:rPr>
        <w:t xml:space="preserve">Connecticut’s </w:t>
      </w:r>
      <w:r w:rsidR="00F43CAC">
        <w:rPr>
          <w:rFonts w:ascii="Franklin Gothic Medium" w:hAnsi="Franklin Gothic Medium"/>
          <w:sz w:val="40"/>
          <w:szCs w:val="40"/>
        </w:rPr>
        <w:t xml:space="preserve">uninsured rate continues </w:t>
      </w:r>
      <w:r w:rsidR="00A122CA">
        <w:rPr>
          <w:rFonts w:ascii="Franklin Gothic Medium" w:hAnsi="Franklin Gothic Medium"/>
          <w:sz w:val="40"/>
          <w:szCs w:val="40"/>
        </w:rPr>
        <w:t>to drop</w:t>
      </w:r>
    </w:p>
    <w:p w14:paraId="16FE6DF3" w14:textId="6D5E67F0" w:rsidR="00A122CA" w:rsidRDefault="00A122CA" w:rsidP="00A122CA">
      <w:pPr>
        <w:pStyle w:val="NoSpacing"/>
        <w:rPr>
          <w:sz w:val="24"/>
          <w:szCs w:val="24"/>
        </w:rPr>
      </w:pPr>
      <w:r w:rsidRPr="001E2412">
        <w:rPr>
          <w:sz w:val="24"/>
          <w:szCs w:val="24"/>
        </w:rPr>
        <w:t>New number</w:t>
      </w:r>
      <w:r>
        <w:rPr>
          <w:sz w:val="24"/>
          <w:szCs w:val="24"/>
        </w:rPr>
        <w:t>s from the US Census Bureau report</w:t>
      </w:r>
      <w:r w:rsidRPr="001E2412">
        <w:rPr>
          <w:sz w:val="24"/>
          <w:szCs w:val="24"/>
        </w:rPr>
        <w:t xml:space="preserve"> that 172,000 or 4.9% of </w:t>
      </w:r>
      <w:r>
        <w:rPr>
          <w:sz w:val="24"/>
          <w:szCs w:val="24"/>
        </w:rPr>
        <w:t>Connecticut</w:t>
      </w:r>
      <w:r w:rsidRPr="001E2412">
        <w:rPr>
          <w:sz w:val="24"/>
          <w:szCs w:val="24"/>
        </w:rPr>
        <w:t xml:space="preserve"> residents rem</w:t>
      </w:r>
      <w:r>
        <w:rPr>
          <w:sz w:val="24"/>
          <w:szCs w:val="24"/>
        </w:rPr>
        <w:t>ained uninsured last year. While that number is still larger than the total population of any Connecticut city or town, it is down</w:t>
      </w:r>
      <w:r w:rsidRPr="001E24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Pr="001E2412">
        <w:rPr>
          <w:sz w:val="24"/>
          <w:szCs w:val="24"/>
        </w:rPr>
        <w:t xml:space="preserve">39,000 from the year before. </w:t>
      </w:r>
      <w:r>
        <w:rPr>
          <w:sz w:val="24"/>
          <w:szCs w:val="24"/>
        </w:rPr>
        <w:t>This continues a trend that began with implementation of coverage expansions under the Affordable Care Act (ACA) in 2014. Connecticut’s uninsured rate remains</w:t>
      </w:r>
      <w:r w:rsidRPr="001E2412">
        <w:rPr>
          <w:sz w:val="24"/>
          <w:szCs w:val="24"/>
        </w:rPr>
        <w:t xml:space="preserve"> far better than the US rate of 8.6%. </w:t>
      </w:r>
    </w:p>
    <w:p w14:paraId="40A23498" w14:textId="77777777" w:rsidR="00BD2F90" w:rsidRDefault="00BD2F90" w:rsidP="00A122CA">
      <w:pPr>
        <w:pStyle w:val="NoSpacing"/>
        <w:rPr>
          <w:sz w:val="24"/>
          <w:szCs w:val="24"/>
        </w:rPr>
      </w:pPr>
    </w:p>
    <w:p w14:paraId="29C87F5D" w14:textId="77777777" w:rsidR="00BD2F90" w:rsidRDefault="00BD2F90" w:rsidP="00A122CA">
      <w:pPr>
        <w:pStyle w:val="NoSpacing"/>
        <w:rPr>
          <w:sz w:val="24"/>
          <w:szCs w:val="24"/>
        </w:rPr>
      </w:pPr>
    </w:p>
    <w:p w14:paraId="39CCC571" w14:textId="77777777" w:rsidR="00A122CA" w:rsidRDefault="00A122CA" w:rsidP="00A122CA">
      <w:pPr>
        <w:pStyle w:val="NoSpacing"/>
        <w:rPr>
          <w:sz w:val="24"/>
          <w:szCs w:val="24"/>
        </w:rPr>
      </w:pPr>
      <w:r>
        <w:rPr>
          <w:noProof/>
        </w:rPr>
        <w:drawing>
          <wp:inline distT="0" distB="0" distL="0" distR="0" wp14:anchorId="60109B29" wp14:editId="07EB1674">
            <wp:extent cx="5363633" cy="2118783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FBF426F" w14:textId="77777777" w:rsidR="00A122CA" w:rsidRDefault="00A122CA" w:rsidP="00A122CA">
      <w:pPr>
        <w:pStyle w:val="NoSpacing"/>
        <w:rPr>
          <w:sz w:val="24"/>
          <w:szCs w:val="24"/>
        </w:rPr>
      </w:pPr>
    </w:p>
    <w:p w14:paraId="2AEA2235" w14:textId="1AD8CAC4" w:rsidR="00BD2F90" w:rsidRDefault="00BD2F90" w:rsidP="00A122CA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073436A" wp14:editId="0556C432">
            <wp:simplePos x="0" y="0"/>
            <wp:positionH relativeFrom="column">
              <wp:align>right</wp:align>
            </wp:positionH>
            <wp:positionV relativeFrom="paragraph">
              <wp:posOffset>2540</wp:posOffset>
            </wp:positionV>
            <wp:extent cx="4343400" cy="3009900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A8D75" w14:textId="77777777" w:rsidR="00BD2F90" w:rsidRDefault="00BD2F90" w:rsidP="00A122CA">
      <w:pPr>
        <w:pStyle w:val="NoSpacing"/>
        <w:rPr>
          <w:sz w:val="24"/>
          <w:szCs w:val="24"/>
        </w:rPr>
      </w:pPr>
    </w:p>
    <w:p w14:paraId="46518683" w14:textId="77777777" w:rsidR="00BD2F90" w:rsidRDefault="00BD2F90" w:rsidP="00A122CA">
      <w:pPr>
        <w:pStyle w:val="NoSpacing"/>
        <w:rPr>
          <w:sz w:val="24"/>
          <w:szCs w:val="24"/>
        </w:rPr>
      </w:pPr>
    </w:p>
    <w:p w14:paraId="732F15CE" w14:textId="7FF2A60A" w:rsidR="00BD2F90" w:rsidRDefault="00BD2F90" w:rsidP="00A122CA">
      <w:pPr>
        <w:pStyle w:val="NoSpacing"/>
        <w:rPr>
          <w:sz w:val="24"/>
          <w:szCs w:val="24"/>
        </w:rPr>
      </w:pPr>
    </w:p>
    <w:p w14:paraId="706475C5" w14:textId="77777777" w:rsidR="00BD2F90" w:rsidRDefault="00BD2F90" w:rsidP="00A122CA">
      <w:pPr>
        <w:pStyle w:val="NoSpacing"/>
        <w:rPr>
          <w:sz w:val="24"/>
          <w:szCs w:val="24"/>
        </w:rPr>
      </w:pPr>
    </w:p>
    <w:p w14:paraId="1973FD31" w14:textId="59C658CC" w:rsidR="00A122CA" w:rsidRPr="003C7B85" w:rsidRDefault="00A122CA" w:rsidP="00A122CA">
      <w:pPr>
        <w:pStyle w:val="NoSpacing"/>
        <w:rPr>
          <w:sz w:val="24"/>
          <w:szCs w:val="24"/>
        </w:rPr>
      </w:pPr>
      <w:r w:rsidRPr="001E2412">
        <w:rPr>
          <w:sz w:val="24"/>
          <w:szCs w:val="24"/>
        </w:rPr>
        <w:t xml:space="preserve">Most Connecticut residents continue to be covered </w:t>
      </w:r>
      <w:r>
        <w:rPr>
          <w:sz w:val="24"/>
          <w:szCs w:val="24"/>
        </w:rPr>
        <w:t xml:space="preserve">by </w:t>
      </w:r>
      <w:r w:rsidRPr="001E2412">
        <w:rPr>
          <w:sz w:val="24"/>
          <w:szCs w:val="24"/>
        </w:rPr>
        <w:t>an employer-based plan, although that rate has been declining for years.</w:t>
      </w:r>
      <w:r w:rsidRPr="00AD2AE8">
        <w:t xml:space="preserve"> </w:t>
      </w:r>
    </w:p>
    <w:p w14:paraId="11C4ED76" w14:textId="591A5AC2" w:rsidR="00A122CA" w:rsidRDefault="00A122CA" w:rsidP="00A122CA">
      <w:pPr>
        <w:pStyle w:val="NoSpacing"/>
      </w:pPr>
    </w:p>
    <w:p w14:paraId="4AD6853C" w14:textId="77777777" w:rsidR="00A122CA" w:rsidRDefault="00A122CA" w:rsidP="00A122CA">
      <w:pPr>
        <w:pStyle w:val="NoSpacing"/>
      </w:pPr>
    </w:p>
    <w:p w14:paraId="1CBFE690" w14:textId="77777777" w:rsidR="00BD2F90" w:rsidRDefault="00BD2F90" w:rsidP="00A122CA">
      <w:pPr>
        <w:pStyle w:val="NoSpacing"/>
        <w:rPr>
          <w:b/>
          <w:sz w:val="24"/>
          <w:szCs w:val="24"/>
        </w:rPr>
      </w:pPr>
    </w:p>
    <w:p w14:paraId="08FCE2E8" w14:textId="77777777" w:rsidR="00BD2F90" w:rsidRDefault="00BD2F90" w:rsidP="00A122CA">
      <w:pPr>
        <w:pStyle w:val="NoSpacing"/>
        <w:rPr>
          <w:b/>
          <w:sz w:val="24"/>
          <w:szCs w:val="24"/>
        </w:rPr>
      </w:pPr>
    </w:p>
    <w:p w14:paraId="6899816C" w14:textId="77777777" w:rsidR="00BD2F90" w:rsidRDefault="00BD2F90" w:rsidP="00A122CA">
      <w:pPr>
        <w:pStyle w:val="NoSpacing"/>
        <w:rPr>
          <w:b/>
          <w:sz w:val="24"/>
          <w:szCs w:val="24"/>
        </w:rPr>
      </w:pPr>
    </w:p>
    <w:p w14:paraId="6406ED57" w14:textId="77777777" w:rsidR="00BD2F90" w:rsidRDefault="00BD2F90" w:rsidP="00A122CA">
      <w:pPr>
        <w:pStyle w:val="NoSpacing"/>
        <w:rPr>
          <w:b/>
          <w:sz w:val="24"/>
          <w:szCs w:val="24"/>
        </w:rPr>
      </w:pPr>
    </w:p>
    <w:p w14:paraId="78CC0C07" w14:textId="77777777" w:rsidR="00BD2F90" w:rsidRDefault="00BD2F90" w:rsidP="00A122CA">
      <w:pPr>
        <w:pStyle w:val="NoSpacing"/>
        <w:rPr>
          <w:b/>
          <w:sz w:val="24"/>
          <w:szCs w:val="24"/>
        </w:rPr>
      </w:pPr>
    </w:p>
    <w:p w14:paraId="46F65830" w14:textId="77777777" w:rsidR="00BD2F90" w:rsidRDefault="00BD2F90" w:rsidP="00A122CA">
      <w:pPr>
        <w:pStyle w:val="NoSpacing"/>
        <w:rPr>
          <w:b/>
          <w:sz w:val="24"/>
          <w:szCs w:val="24"/>
        </w:rPr>
      </w:pPr>
    </w:p>
    <w:p w14:paraId="6B39A8C6" w14:textId="77777777" w:rsidR="00BD2F90" w:rsidRDefault="00BD2F90" w:rsidP="00A122CA">
      <w:pPr>
        <w:pStyle w:val="NoSpacing"/>
        <w:rPr>
          <w:b/>
          <w:sz w:val="24"/>
          <w:szCs w:val="24"/>
        </w:rPr>
      </w:pPr>
    </w:p>
    <w:p w14:paraId="1E0CAA9E" w14:textId="77777777" w:rsidR="00BD2F90" w:rsidRDefault="00BD2F90" w:rsidP="00A122CA">
      <w:pPr>
        <w:pStyle w:val="NoSpacing"/>
        <w:rPr>
          <w:b/>
          <w:sz w:val="24"/>
          <w:szCs w:val="24"/>
        </w:rPr>
      </w:pPr>
    </w:p>
    <w:p w14:paraId="66FA3E72" w14:textId="77777777" w:rsidR="00BD2F90" w:rsidRDefault="00BD2F90" w:rsidP="00A122CA">
      <w:pPr>
        <w:pStyle w:val="NoSpacing"/>
        <w:rPr>
          <w:b/>
          <w:sz w:val="24"/>
          <w:szCs w:val="24"/>
        </w:rPr>
      </w:pPr>
    </w:p>
    <w:p w14:paraId="0C41F68A" w14:textId="66768F25" w:rsidR="00A122CA" w:rsidRDefault="00A122CA" w:rsidP="00A122CA">
      <w:pPr>
        <w:pStyle w:val="NoSpacing"/>
        <w:rPr>
          <w:sz w:val="24"/>
          <w:szCs w:val="24"/>
        </w:rPr>
      </w:pPr>
      <w:r w:rsidRPr="007D4043">
        <w:rPr>
          <w:b/>
          <w:sz w:val="24"/>
          <w:szCs w:val="24"/>
        </w:rPr>
        <w:t>There is no evidence that the ACA has reduced employer-sponsored coverage</w:t>
      </w:r>
      <w:r>
        <w:rPr>
          <w:b/>
          <w:sz w:val="24"/>
          <w:szCs w:val="24"/>
        </w:rPr>
        <w:t xml:space="preserve"> in Connecticut.</w:t>
      </w:r>
      <w:r w:rsidRPr="00AD2AE8">
        <w:rPr>
          <w:sz w:val="24"/>
          <w:szCs w:val="24"/>
        </w:rPr>
        <w:t xml:space="preserve"> While employer-sponsored coverage has eroded in our state, as it has nationally, that loss p</w:t>
      </w:r>
      <w:r>
        <w:rPr>
          <w:sz w:val="24"/>
          <w:szCs w:val="24"/>
        </w:rPr>
        <w:t>re-dated the ACA</w:t>
      </w:r>
      <w:r w:rsidRPr="00AD2AE8">
        <w:rPr>
          <w:sz w:val="24"/>
          <w:szCs w:val="24"/>
        </w:rPr>
        <w:t>.</w:t>
      </w:r>
    </w:p>
    <w:p w14:paraId="0BCAEBF4" w14:textId="77777777" w:rsidR="00BD2F90" w:rsidRDefault="00BD2F90" w:rsidP="00A122CA">
      <w:pPr>
        <w:pStyle w:val="NoSpacing"/>
        <w:rPr>
          <w:sz w:val="24"/>
          <w:szCs w:val="24"/>
        </w:rPr>
      </w:pPr>
    </w:p>
    <w:p w14:paraId="599BBF15" w14:textId="77777777" w:rsidR="00A122CA" w:rsidRDefault="00A122CA" w:rsidP="00A122CA">
      <w:pPr>
        <w:pStyle w:val="NoSpacing"/>
        <w:rPr>
          <w:sz w:val="24"/>
          <w:szCs w:val="24"/>
        </w:rPr>
      </w:pPr>
      <w:r>
        <w:rPr>
          <w:noProof/>
        </w:rPr>
        <w:drawing>
          <wp:inline distT="0" distB="0" distL="0" distR="0" wp14:anchorId="5B83FDC4" wp14:editId="163C4821">
            <wp:extent cx="5592233" cy="2813050"/>
            <wp:effectExtent l="0" t="0" r="0" b="63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6FE7640" w14:textId="77777777" w:rsidR="00A122CA" w:rsidRDefault="00A122CA" w:rsidP="00A122CA">
      <w:pPr>
        <w:pStyle w:val="NoSpacing"/>
        <w:rPr>
          <w:sz w:val="24"/>
          <w:szCs w:val="24"/>
        </w:rPr>
      </w:pPr>
    </w:p>
    <w:p w14:paraId="6A67A83A" w14:textId="140A33EC" w:rsidR="00A122CA" w:rsidRPr="001E2412" w:rsidRDefault="00A122CA" w:rsidP="00A122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Connecticut residents remain more likely to have employer-sponsored coverage than most Americans.</w:t>
      </w:r>
    </w:p>
    <w:p w14:paraId="25AD9D7A" w14:textId="77777777" w:rsidR="00A122CA" w:rsidRDefault="00A122CA" w:rsidP="00A122CA">
      <w:pPr>
        <w:pStyle w:val="NoSpacing"/>
      </w:pPr>
    </w:p>
    <w:p w14:paraId="107F1416" w14:textId="77777777" w:rsidR="00A122CA" w:rsidRPr="00F43927" w:rsidRDefault="00A122CA" w:rsidP="00A122CA">
      <w:pPr>
        <w:pStyle w:val="NoSpacing"/>
      </w:pPr>
      <w:r>
        <w:rPr>
          <w:noProof/>
        </w:rPr>
        <w:drawing>
          <wp:inline distT="0" distB="0" distL="0" distR="0" wp14:anchorId="4C881A34" wp14:editId="1FC3C9D5">
            <wp:extent cx="5952067" cy="3405717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6323D65" w14:textId="77777777" w:rsidR="00A122CA" w:rsidRDefault="00A122CA" w:rsidP="00A122CA">
      <w:pPr>
        <w:pStyle w:val="NoSpacing"/>
      </w:pPr>
    </w:p>
    <w:p w14:paraId="02CAA8F7" w14:textId="77777777" w:rsidR="00BD2F90" w:rsidRDefault="00BD2F90" w:rsidP="00A122CA">
      <w:pPr>
        <w:pStyle w:val="NoSpacing"/>
        <w:rPr>
          <w:sz w:val="24"/>
          <w:szCs w:val="24"/>
        </w:rPr>
      </w:pPr>
    </w:p>
    <w:p w14:paraId="33C0BD7C" w14:textId="77777777" w:rsidR="00BD2F90" w:rsidRDefault="00BD2F90" w:rsidP="00A122CA">
      <w:pPr>
        <w:pStyle w:val="NoSpacing"/>
        <w:rPr>
          <w:sz w:val="24"/>
          <w:szCs w:val="24"/>
        </w:rPr>
      </w:pPr>
    </w:p>
    <w:p w14:paraId="043208E8" w14:textId="77777777" w:rsidR="00BD2F90" w:rsidRDefault="00BD2F90" w:rsidP="00A122CA">
      <w:pPr>
        <w:pStyle w:val="NoSpacing"/>
        <w:rPr>
          <w:sz w:val="24"/>
          <w:szCs w:val="24"/>
        </w:rPr>
      </w:pPr>
    </w:p>
    <w:p w14:paraId="6CB1627E" w14:textId="77777777" w:rsidR="00BD2F90" w:rsidRDefault="00BD2F90" w:rsidP="00A122CA">
      <w:pPr>
        <w:pStyle w:val="NoSpacing"/>
        <w:rPr>
          <w:sz w:val="24"/>
          <w:szCs w:val="24"/>
        </w:rPr>
      </w:pPr>
    </w:p>
    <w:p w14:paraId="006A4EBF" w14:textId="77777777" w:rsidR="00A122CA" w:rsidRDefault="00A122CA" w:rsidP="00A122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Connecticut lost</w:t>
      </w:r>
      <w:r w:rsidRPr="001F5EE4">
        <w:rPr>
          <w:sz w:val="24"/>
          <w:szCs w:val="24"/>
        </w:rPr>
        <w:t xml:space="preserve"> more employer-sponsored coverage from 2008 through 2013</w:t>
      </w:r>
      <w:r>
        <w:rPr>
          <w:sz w:val="24"/>
          <w:szCs w:val="24"/>
        </w:rPr>
        <w:t>,</w:t>
      </w:r>
      <w:r w:rsidRPr="001F5EE4">
        <w:rPr>
          <w:sz w:val="24"/>
          <w:szCs w:val="24"/>
        </w:rPr>
        <w:t xml:space="preserve"> during the recession </w:t>
      </w:r>
      <w:r>
        <w:rPr>
          <w:sz w:val="24"/>
          <w:szCs w:val="24"/>
        </w:rPr>
        <w:t xml:space="preserve">(-213,000) </w:t>
      </w:r>
      <w:r w:rsidRPr="001F5EE4">
        <w:rPr>
          <w:sz w:val="24"/>
          <w:szCs w:val="24"/>
        </w:rPr>
        <w:t xml:space="preserve">than since </w:t>
      </w:r>
      <w:r>
        <w:rPr>
          <w:sz w:val="24"/>
          <w:szCs w:val="24"/>
        </w:rPr>
        <w:t>ACA expansions (-32,000)</w:t>
      </w:r>
      <w:r w:rsidRPr="001F5EE4">
        <w:rPr>
          <w:sz w:val="24"/>
          <w:szCs w:val="24"/>
        </w:rPr>
        <w:t>.</w:t>
      </w:r>
    </w:p>
    <w:p w14:paraId="761C3CA9" w14:textId="77777777" w:rsidR="00BD2F90" w:rsidRDefault="00BD2F90" w:rsidP="00A122CA">
      <w:pPr>
        <w:pStyle w:val="NoSpacing"/>
      </w:pPr>
    </w:p>
    <w:p w14:paraId="095B9D07" w14:textId="77777777" w:rsidR="00A122CA" w:rsidRPr="00F43927" w:rsidRDefault="00A122CA" w:rsidP="00A122CA">
      <w:pPr>
        <w:pStyle w:val="NoSpacing"/>
      </w:pPr>
      <w:r>
        <w:rPr>
          <w:noProof/>
        </w:rPr>
        <w:drawing>
          <wp:inline distT="0" distB="0" distL="0" distR="0" wp14:anchorId="7A81D06E" wp14:editId="61260053">
            <wp:extent cx="4567766" cy="2743200"/>
            <wp:effectExtent l="0" t="0" r="444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AA3CC65" w14:textId="77777777" w:rsidR="00A122CA" w:rsidRPr="00AD2AE8" w:rsidRDefault="00A122CA" w:rsidP="00A122CA">
      <w:pPr>
        <w:pStyle w:val="NoSpacing"/>
        <w:rPr>
          <w:sz w:val="24"/>
          <w:szCs w:val="24"/>
        </w:rPr>
      </w:pPr>
    </w:p>
    <w:p w14:paraId="6C1C5BAE" w14:textId="77777777" w:rsidR="00BD2F90" w:rsidRDefault="00BD2F90" w:rsidP="00A122CA">
      <w:pPr>
        <w:pStyle w:val="NoSpacing"/>
        <w:rPr>
          <w:sz w:val="24"/>
          <w:szCs w:val="24"/>
        </w:rPr>
      </w:pPr>
    </w:p>
    <w:p w14:paraId="18E4FC2C" w14:textId="77777777" w:rsidR="00A122CA" w:rsidRPr="00AD2AE8" w:rsidRDefault="00A122CA" w:rsidP="00A122CA">
      <w:pPr>
        <w:pStyle w:val="NoSpacing"/>
        <w:rPr>
          <w:sz w:val="24"/>
          <w:szCs w:val="24"/>
        </w:rPr>
      </w:pPr>
      <w:r w:rsidRPr="00AD2AE8">
        <w:rPr>
          <w:sz w:val="24"/>
          <w:szCs w:val="24"/>
        </w:rPr>
        <w:t xml:space="preserve">Surprisingly, </w:t>
      </w:r>
      <w:r w:rsidRPr="007D4043">
        <w:rPr>
          <w:b/>
          <w:sz w:val="24"/>
          <w:szCs w:val="24"/>
        </w:rPr>
        <w:t>Connecticut Medicaid enrollment grew more before the ACA expansion than after, likely due to the recession</w:t>
      </w:r>
      <w:r w:rsidRPr="00AD2AE8">
        <w:rPr>
          <w:sz w:val="24"/>
          <w:szCs w:val="24"/>
        </w:rPr>
        <w:t xml:space="preserve">. </w:t>
      </w:r>
      <w:r>
        <w:rPr>
          <w:sz w:val="24"/>
          <w:szCs w:val="24"/>
        </w:rPr>
        <w:t>Since 2013 the percent of Connecticut residents with Medicaid coverage has stayed very close to the national average.</w:t>
      </w:r>
    </w:p>
    <w:p w14:paraId="6F2DA809" w14:textId="77777777" w:rsidR="00A122CA" w:rsidRDefault="00A122CA" w:rsidP="00A122CA">
      <w:pPr>
        <w:pStyle w:val="NoSpacing"/>
      </w:pPr>
    </w:p>
    <w:p w14:paraId="45946182" w14:textId="77777777" w:rsidR="00A122CA" w:rsidRDefault="00A122CA" w:rsidP="00A122CA">
      <w:pPr>
        <w:pStyle w:val="NoSpacing"/>
      </w:pPr>
    </w:p>
    <w:p w14:paraId="686DA099" w14:textId="77777777" w:rsidR="00A122CA" w:rsidRPr="00F43927" w:rsidRDefault="00A122CA" w:rsidP="00A122CA">
      <w:pPr>
        <w:pStyle w:val="NoSpacing"/>
      </w:pPr>
      <w:r>
        <w:rPr>
          <w:noProof/>
        </w:rPr>
        <w:drawing>
          <wp:inline distT="0" distB="0" distL="0" distR="0" wp14:anchorId="09E74D71" wp14:editId="0992A100">
            <wp:extent cx="5143500" cy="2383367"/>
            <wp:effectExtent l="0" t="0" r="0" b="444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0B70EC2" w14:textId="77777777" w:rsidR="00A122CA" w:rsidRDefault="00A122CA" w:rsidP="00A122CA"/>
    <w:p w14:paraId="19BE0803" w14:textId="77777777" w:rsidR="00A122CA" w:rsidRPr="00F43927" w:rsidRDefault="00A122CA" w:rsidP="00A122CA">
      <w:pPr>
        <w:pStyle w:val="NoSpacing"/>
      </w:pPr>
    </w:p>
    <w:p w14:paraId="2A462545" w14:textId="2F2DBE2B" w:rsidR="00A122CA" w:rsidRDefault="006857AF" w:rsidP="00A122CA">
      <w:r>
        <w:t xml:space="preserve">Sources: </w:t>
      </w:r>
      <w:r w:rsidR="000F6FCB">
        <w:t xml:space="preserve">Health Insurance Coverage in the United States 2016, US Census, September 12, 2017, </w:t>
      </w:r>
      <w:hyperlink r:id="rId15" w:history="1">
        <w:r w:rsidR="000F6FCB" w:rsidRPr="00BC4E76">
          <w:rPr>
            <w:rStyle w:val="Hyperlink"/>
          </w:rPr>
          <w:t>https://www.census.gov/library/publications/2017/demo/p60-260.html</w:t>
        </w:r>
      </w:hyperlink>
    </w:p>
    <w:p w14:paraId="1DAE2951" w14:textId="7473FEF9" w:rsidR="000F6FCB" w:rsidRDefault="004B58C6" w:rsidP="00A122CA">
      <w:r>
        <w:t xml:space="preserve">Economic Summary, Connecticut Office of the State Comptroller, September 1, 2017, </w:t>
      </w:r>
      <w:hyperlink r:id="rId16" w:history="1">
        <w:r w:rsidRPr="00BC4E76">
          <w:rPr>
            <w:rStyle w:val="Hyperlink"/>
          </w:rPr>
          <w:t>http://www.osc.ct.gov/public/pressrl/2017/September2017FinancialStatus.pdf</w:t>
        </w:r>
      </w:hyperlink>
      <w:r>
        <w:t xml:space="preserve"> </w:t>
      </w:r>
    </w:p>
    <w:p w14:paraId="7D7ED04D" w14:textId="77777777" w:rsidR="00470E5C" w:rsidRPr="00230E24" w:rsidRDefault="00470E5C" w:rsidP="00A122CA">
      <w:pPr>
        <w:widowControl w:val="0"/>
        <w:autoSpaceDE w:val="0"/>
        <w:autoSpaceDN w:val="0"/>
        <w:adjustRightInd w:val="0"/>
        <w:spacing w:after="240" w:line="280" w:lineRule="atLeast"/>
        <w:rPr>
          <w:rFonts w:asciiTheme="majorHAnsi" w:hAnsiTheme="majorHAnsi"/>
        </w:rPr>
      </w:pPr>
    </w:p>
    <w:sectPr w:rsidR="00470E5C" w:rsidRPr="00230E24" w:rsidSect="00B875B7">
      <w:footerReference w:type="even" r:id="rId17"/>
      <w:footerReference w:type="default" r:id="rId18"/>
      <w:pgSz w:w="12240" w:h="15840"/>
      <w:pgMar w:top="630" w:right="144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012F9" w14:textId="77777777" w:rsidR="00550472" w:rsidRDefault="00550472" w:rsidP="001238E8">
      <w:r>
        <w:separator/>
      </w:r>
    </w:p>
  </w:endnote>
  <w:endnote w:type="continuationSeparator" w:id="0">
    <w:p w14:paraId="1F5434B3" w14:textId="77777777" w:rsidR="00550472" w:rsidRDefault="00550472" w:rsidP="0012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2F5BF" w14:textId="77777777" w:rsidR="004B58C6" w:rsidRDefault="004B58C6" w:rsidP="004B58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2E3E88" w14:textId="3496B5E5" w:rsidR="004B58C6" w:rsidRDefault="00550472" w:rsidP="00285E6A">
    <w:pPr>
      <w:pStyle w:val="Footer"/>
      <w:ind w:right="360"/>
    </w:pPr>
    <w:sdt>
      <w:sdtPr>
        <w:id w:val="969400743"/>
        <w:placeholder>
          <w:docPart w:val="CF37CC755268DC4A8C9C14600FBD10C2"/>
        </w:placeholder>
        <w:temporary/>
        <w:showingPlcHdr/>
      </w:sdtPr>
      <w:sdtEndPr/>
      <w:sdtContent>
        <w:r w:rsidR="004B58C6">
          <w:t>[Type text]</w:t>
        </w:r>
      </w:sdtContent>
    </w:sdt>
    <w:r w:rsidR="004B58C6">
      <w:ptab w:relativeTo="margin" w:alignment="center" w:leader="none"/>
    </w:r>
    <w:sdt>
      <w:sdtPr>
        <w:id w:val="969400748"/>
        <w:placeholder>
          <w:docPart w:val="57208B8713E12B41B52C8D07311C57EB"/>
        </w:placeholder>
        <w:temporary/>
        <w:showingPlcHdr/>
      </w:sdtPr>
      <w:sdtEndPr/>
      <w:sdtContent>
        <w:r w:rsidR="004B58C6">
          <w:t>[Type text]</w:t>
        </w:r>
      </w:sdtContent>
    </w:sdt>
    <w:r w:rsidR="004B58C6">
      <w:ptab w:relativeTo="margin" w:alignment="right" w:leader="none"/>
    </w:r>
    <w:sdt>
      <w:sdtPr>
        <w:id w:val="969400753"/>
        <w:placeholder>
          <w:docPart w:val="A939BEF962580C48BF8CAE4DB9DE97A3"/>
        </w:placeholder>
        <w:temporary/>
        <w:showingPlcHdr/>
      </w:sdtPr>
      <w:sdtEndPr/>
      <w:sdtContent>
        <w:r w:rsidR="004B58C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A6611" w14:textId="77777777" w:rsidR="004B58C6" w:rsidRPr="00285E6A" w:rsidRDefault="004B58C6" w:rsidP="004B58C6">
    <w:pPr>
      <w:pStyle w:val="Footer"/>
      <w:framePr w:wrap="around" w:vAnchor="text" w:hAnchor="margin" w:xAlign="right" w:y="1"/>
      <w:rPr>
        <w:rStyle w:val="PageNumber"/>
        <w:rFonts w:ascii="Trebuchet MS" w:hAnsi="Trebuchet MS"/>
        <w:sz w:val="20"/>
        <w:szCs w:val="20"/>
      </w:rPr>
    </w:pPr>
    <w:r w:rsidRPr="00285E6A">
      <w:rPr>
        <w:rStyle w:val="PageNumber"/>
        <w:rFonts w:ascii="Trebuchet MS" w:hAnsi="Trebuchet MS"/>
        <w:sz w:val="20"/>
        <w:szCs w:val="20"/>
      </w:rPr>
      <w:fldChar w:fldCharType="begin"/>
    </w:r>
    <w:r w:rsidRPr="00285E6A">
      <w:rPr>
        <w:rStyle w:val="PageNumber"/>
        <w:rFonts w:ascii="Trebuchet MS" w:hAnsi="Trebuchet MS"/>
        <w:sz w:val="20"/>
        <w:szCs w:val="20"/>
      </w:rPr>
      <w:instrText xml:space="preserve">PAGE  </w:instrText>
    </w:r>
    <w:r w:rsidRPr="00285E6A">
      <w:rPr>
        <w:rStyle w:val="PageNumber"/>
        <w:rFonts w:ascii="Trebuchet MS" w:hAnsi="Trebuchet MS"/>
        <w:sz w:val="20"/>
        <w:szCs w:val="20"/>
      </w:rPr>
      <w:fldChar w:fldCharType="separate"/>
    </w:r>
    <w:r w:rsidR="00122242">
      <w:rPr>
        <w:rStyle w:val="PageNumber"/>
        <w:rFonts w:ascii="Trebuchet MS" w:hAnsi="Trebuchet MS"/>
        <w:noProof/>
        <w:sz w:val="20"/>
        <w:szCs w:val="20"/>
      </w:rPr>
      <w:t>1</w:t>
    </w:r>
    <w:r w:rsidRPr="00285E6A">
      <w:rPr>
        <w:rStyle w:val="PageNumber"/>
        <w:rFonts w:ascii="Trebuchet MS" w:hAnsi="Trebuchet MS"/>
        <w:sz w:val="20"/>
        <w:szCs w:val="20"/>
      </w:rPr>
      <w:fldChar w:fldCharType="end"/>
    </w:r>
  </w:p>
  <w:p w14:paraId="07AC85D8" w14:textId="6C64161B" w:rsidR="004B58C6" w:rsidRPr="001238E8" w:rsidRDefault="004B58C6" w:rsidP="00285E6A">
    <w:pPr>
      <w:pStyle w:val="Footer"/>
      <w:ind w:right="360"/>
      <w:rPr>
        <w:rFonts w:asciiTheme="majorHAnsi" w:hAnsiTheme="majorHAnsi"/>
        <w:sz w:val="20"/>
        <w:szCs w:val="20"/>
      </w:rPr>
    </w:pPr>
    <w:r w:rsidRPr="001238E8">
      <w:rPr>
        <w:rFonts w:asciiTheme="majorHAnsi" w:hAnsiTheme="majorHAnsi"/>
        <w:sz w:val="20"/>
        <w:szCs w:val="20"/>
      </w:rPr>
      <w:ptab w:relativeTo="margin" w:alignment="center" w:leader="none"/>
    </w:r>
    <w:r w:rsidRPr="001238E8">
      <w:rPr>
        <w:rFonts w:asciiTheme="majorHAnsi" w:hAnsiTheme="majorHAnsi"/>
        <w:sz w:val="20"/>
        <w:szCs w:val="20"/>
      </w:rPr>
      <w:t>www.cthealthpolicy.org</w:t>
    </w:r>
    <w:r w:rsidRPr="001238E8">
      <w:rPr>
        <w:rFonts w:asciiTheme="majorHAnsi" w:hAnsiTheme="majorHAnsi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10B32" w14:textId="77777777" w:rsidR="00550472" w:rsidRDefault="00550472" w:rsidP="001238E8">
      <w:r>
        <w:separator/>
      </w:r>
    </w:p>
  </w:footnote>
  <w:footnote w:type="continuationSeparator" w:id="0">
    <w:p w14:paraId="007DD55E" w14:textId="77777777" w:rsidR="00550472" w:rsidRDefault="00550472" w:rsidP="00123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5D6D"/>
    <w:multiLevelType w:val="hybridMultilevel"/>
    <w:tmpl w:val="EC006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163A"/>
    <w:multiLevelType w:val="hybridMultilevel"/>
    <w:tmpl w:val="DCF2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25F8D"/>
    <w:multiLevelType w:val="hybridMultilevel"/>
    <w:tmpl w:val="CB48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F3088"/>
    <w:multiLevelType w:val="hybridMultilevel"/>
    <w:tmpl w:val="34D8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55D2E"/>
    <w:multiLevelType w:val="hybridMultilevel"/>
    <w:tmpl w:val="E8B0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163D8"/>
    <w:multiLevelType w:val="hybridMultilevel"/>
    <w:tmpl w:val="56DA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37987"/>
    <w:multiLevelType w:val="hybridMultilevel"/>
    <w:tmpl w:val="0992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51EA2"/>
    <w:multiLevelType w:val="hybridMultilevel"/>
    <w:tmpl w:val="EBD4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C1910"/>
    <w:multiLevelType w:val="hybridMultilevel"/>
    <w:tmpl w:val="7CEE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B6"/>
    <w:rsid w:val="00065588"/>
    <w:rsid w:val="000822E6"/>
    <w:rsid w:val="000A3AC5"/>
    <w:rsid w:val="000C578B"/>
    <w:rsid w:val="000D0549"/>
    <w:rsid w:val="000D6191"/>
    <w:rsid w:val="000D7F7E"/>
    <w:rsid w:val="000F3C7A"/>
    <w:rsid w:val="000F6FCB"/>
    <w:rsid w:val="000F7361"/>
    <w:rsid w:val="00122242"/>
    <w:rsid w:val="001238E8"/>
    <w:rsid w:val="00135886"/>
    <w:rsid w:val="00230E24"/>
    <w:rsid w:val="002459EA"/>
    <w:rsid w:val="00262461"/>
    <w:rsid w:val="00285E6A"/>
    <w:rsid w:val="00293909"/>
    <w:rsid w:val="0033165B"/>
    <w:rsid w:val="0038081F"/>
    <w:rsid w:val="00386794"/>
    <w:rsid w:val="003C3C90"/>
    <w:rsid w:val="003C7B85"/>
    <w:rsid w:val="003F40A4"/>
    <w:rsid w:val="003F50CE"/>
    <w:rsid w:val="00440A4A"/>
    <w:rsid w:val="00444CAF"/>
    <w:rsid w:val="00470E5C"/>
    <w:rsid w:val="00473345"/>
    <w:rsid w:val="004B58C6"/>
    <w:rsid w:val="004E1270"/>
    <w:rsid w:val="00550472"/>
    <w:rsid w:val="005574A2"/>
    <w:rsid w:val="005E6167"/>
    <w:rsid w:val="006857AF"/>
    <w:rsid w:val="006B1871"/>
    <w:rsid w:val="006C2E10"/>
    <w:rsid w:val="006E0157"/>
    <w:rsid w:val="006F357B"/>
    <w:rsid w:val="007176A9"/>
    <w:rsid w:val="00740CE6"/>
    <w:rsid w:val="00767922"/>
    <w:rsid w:val="0078390D"/>
    <w:rsid w:val="007A6C1C"/>
    <w:rsid w:val="007E4699"/>
    <w:rsid w:val="00831CA7"/>
    <w:rsid w:val="0088242C"/>
    <w:rsid w:val="008C6943"/>
    <w:rsid w:val="008F1CF0"/>
    <w:rsid w:val="00947FE5"/>
    <w:rsid w:val="0097161C"/>
    <w:rsid w:val="009764E6"/>
    <w:rsid w:val="009A1B28"/>
    <w:rsid w:val="00A01A5C"/>
    <w:rsid w:val="00A122CA"/>
    <w:rsid w:val="00A34BB6"/>
    <w:rsid w:val="00AC6317"/>
    <w:rsid w:val="00B21B06"/>
    <w:rsid w:val="00B55FCE"/>
    <w:rsid w:val="00B731D3"/>
    <w:rsid w:val="00B875B7"/>
    <w:rsid w:val="00B954EF"/>
    <w:rsid w:val="00BD0138"/>
    <w:rsid w:val="00BD2F90"/>
    <w:rsid w:val="00BD5B42"/>
    <w:rsid w:val="00C44B1F"/>
    <w:rsid w:val="00CB375A"/>
    <w:rsid w:val="00CC79BA"/>
    <w:rsid w:val="00CD05E2"/>
    <w:rsid w:val="00CD2385"/>
    <w:rsid w:val="00CE2F35"/>
    <w:rsid w:val="00D642B0"/>
    <w:rsid w:val="00DA66D1"/>
    <w:rsid w:val="00E02FCB"/>
    <w:rsid w:val="00E11D0D"/>
    <w:rsid w:val="00E54893"/>
    <w:rsid w:val="00F031A7"/>
    <w:rsid w:val="00F43CAC"/>
    <w:rsid w:val="00F45383"/>
    <w:rsid w:val="00F706A3"/>
    <w:rsid w:val="00F8281E"/>
    <w:rsid w:val="00F9402E"/>
    <w:rsid w:val="00FC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7A6DD5"/>
  <w14:defaultImageDpi w14:val="300"/>
  <w15:docId w15:val="{8C272023-EDAF-3745-9AD8-22D6E0A0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C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A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38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8E8"/>
  </w:style>
  <w:style w:type="paragraph" w:styleId="Footer">
    <w:name w:val="footer"/>
    <w:basedOn w:val="Normal"/>
    <w:link w:val="FooterChar"/>
    <w:uiPriority w:val="99"/>
    <w:unhideWhenUsed/>
    <w:rsid w:val="001238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8E8"/>
  </w:style>
  <w:style w:type="character" w:styleId="Hyperlink">
    <w:name w:val="Hyperlink"/>
    <w:basedOn w:val="DefaultParagraphFont"/>
    <w:uiPriority w:val="99"/>
    <w:unhideWhenUsed/>
    <w:rsid w:val="00F828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281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2E1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A1B28"/>
  </w:style>
  <w:style w:type="character" w:customStyle="1" w:styleId="FootnoteTextChar">
    <w:name w:val="Footnote Text Char"/>
    <w:basedOn w:val="DefaultParagraphFont"/>
    <w:link w:val="FootnoteText"/>
    <w:uiPriority w:val="99"/>
    <w:rsid w:val="009A1B28"/>
  </w:style>
  <w:style w:type="character" w:styleId="FootnoteReference">
    <w:name w:val="footnote reference"/>
    <w:basedOn w:val="DefaultParagraphFont"/>
    <w:uiPriority w:val="99"/>
    <w:unhideWhenUsed/>
    <w:rsid w:val="009A1B28"/>
    <w:rPr>
      <w:vertAlign w:val="superscript"/>
    </w:rPr>
  </w:style>
  <w:style w:type="table" w:styleId="LightList">
    <w:name w:val="Light List"/>
    <w:basedOn w:val="TableNormal"/>
    <w:uiPriority w:val="61"/>
    <w:rsid w:val="009A1B2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1-Accent4">
    <w:name w:val="Medium List 1 Accent 4"/>
    <w:basedOn w:val="TableNormal"/>
    <w:uiPriority w:val="65"/>
    <w:rsid w:val="00B21B0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NormalWeb">
    <w:name w:val="Normal (Web)"/>
    <w:basedOn w:val="Normal"/>
    <w:uiPriority w:val="99"/>
    <w:rsid w:val="00E02FCB"/>
    <w:pPr>
      <w:spacing w:before="100" w:beforeAutospacing="1" w:after="100" w:afterAutospacing="1"/>
    </w:pPr>
    <w:rPr>
      <w:rFonts w:ascii="Times New Roman" w:eastAsia="SimSun" w:hAnsi="Times New Roman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E02FCB"/>
  </w:style>
  <w:style w:type="character" w:customStyle="1" w:styleId="EndnoteTextChar">
    <w:name w:val="Endnote Text Char"/>
    <w:basedOn w:val="DefaultParagraphFont"/>
    <w:link w:val="EndnoteText"/>
    <w:uiPriority w:val="99"/>
    <w:rsid w:val="00E02FCB"/>
  </w:style>
  <w:style w:type="character" w:styleId="EndnoteReference">
    <w:name w:val="endnote reference"/>
    <w:basedOn w:val="DefaultParagraphFont"/>
    <w:uiPriority w:val="99"/>
    <w:unhideWhenUsed/>
    <w:rsid w:val="00E02FC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285E6A"/>
  </w:style>
  <w:style w:type="paragraph" w:styleId="NoSpacing">
    <w:name w:val="No Spacing"/>
    <w:uiPriority w:val="1"/>
    <w:qFormat/>
    <w:rsid w:val="00A122CA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osc.ct.gov/public/pressrl/2017/September2017FinancialStatus.pdf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s://www.census.gov/library/publications/2017/demo/p60-260.html" TargetMode="Externa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ellenandrews:Desktop:hic04_acs%20del%20to%20CT,%20US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ellenandrews:Dropbox:briefcase:2016%20Census:hic04_acs%20del%20to%20CT,%20US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ellenandrews:Desktop:hic04_acs%20del%20to%20CT,%20US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ellenandrews:Dropbox:briefcase:2016%20Census:hic04_acs%20del%20to%20CT,%20US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ellenandrews:Dropbox:briefcase:2016%20Census:hic04_acs%20del%20to%20CT,%20US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ellenandrews:Desktop:hic04_acs%20del%20to%20CT,%20U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charts!$C$7</c:f>
              <c:strCache>
                <c:ptCount val="1"/>
                <c:pt idx="0">
                  <c:v>US</c:v>
                </c:pt>
              </c:strCache>
            </c:strRef>
          </c:tx>
          <c:marker>
            <c:symbol val="none"/>
          </c:marker>
          <c:cat>
            <c:numRef>
              <c:f>charts!$D$3:$L$3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charts!$D$7:$L$7</c:f>
              <c:numCache>
                <c:formatCode>#,##0.0</c:formatCode>
                <c:ptCount val="9"/>
                <c:pt idx="0">
                  <c:v>14.6</c:v>
                </c:pt>
                <c:pt idx="1">
                  <c:v>15.1</c:v>
                </c:pt>
                <c:pt idx="2">
                  <c:v>15.5</c:v>
                </c:pt>
                <c:pt idx="3">
                  <c:v>15.1</c:v>
                </c:pt>
                <c:pt idx="4">
                  <c:v>14.8</c:v>
                </c:pt>
                <c:pt idx="5">
                  <c:v>14.5</c:v>
                </c:pt>
                <c:pt idx="6">
                  <c:v>11.7</c:v>
                </c:pt>
                <c:pt idx="7">
                  <c:v>9.4</c:v>
                </c:pt>
                <c:pt idx="8">
                  <c:v>8.6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8F1-E644-BC9F-11DC85BAED10}"/>
            </c:ext>
          </c:extLst>
        </c:ser>
        <c:ser>
          <c:idx val="1"/>
          <c:order val="1"/>
          <c:tx>
            <c:strRef>
              <c:f>charts!$C$18</c:f>
              <c:strCache>
                <c:ptCount val="1"/>
                <c:pt idx="0">
                  <c:v>CT</c:v>
                </c:pt>
              </c:strCache>
            </c:strRef>
          </c:tx>
          <c:marker>
            <c:symbol val="none"/>
          </c:marker>
          <c:cat>
            <c:numRef>
              <c:f>charts!$D$3:$L$3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charts!$D$18:$L$18</c:f>
              <c:numCache>
                <c:formatCode>#,##0.0</c:formatCode>
                <c:ptCount val="9"/>
                <c:pt idx="0">
                  <c:v>8.8000000000000007</c:v>
                </c:pt>
                <c:pt idx="1">
                  <c:v>8.8000000000000007</c:v>
                </c:pt>
                <c:pt idx="2">
                  <c:v>9.1</c:v>
                </c:pt>
                <c:pt idx="3">
                  <c:v>8.8000000000000007</c:v>
                </c:pt>
                <c:pt idx="4">
                  <c:v>9.1</c:v>
                </c:pt>
                <c:pt idx="5">
                  <c:v>9.4</c:v>
                </c:pt>
                <c:pt idx="6">
                  <c:v>6.9</c:v>
                </c:pt>
                <c:pt idx="7">
                  <c:v>6</c:v>
                </c:pt>
                <c:pt idx="8">
                  <c:v>4.9000000000000004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8F1-E644-BC9F-11DC85BAED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120891144"/>
        <c:axId val="-2120888136"/>
      </c:lineChart>
      <c:catAx>
        <c:axId val="-2120891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120888136"/>
        <c:crosses val="autoZero"/>
        <c:auto val="1"/>
        <c:lblAlgn val="ctr"/>
        <c:lblOffset val="100"/>
        <c:noMultiLvlLbl val="0"/>
      </c:catAx>
      <c:valAx>
        <c:axId val="-212088813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b="0"/>
                  <a:t>percent uninsured</a:t>
                </a:r>
              </a:p>
            </c:rich>
          </c:tx>
          <c:overlay val="0"/>
        </c:title>
        <c:numFmt formatCode="#,##0.0" sourceLinked="1"/>
        <c:majorTickMark val="out"/>
        <c:minorTickMark val="none"/>
        <c:tickLblPos val="nextTo"/>
        <c:crossAx val="-2120891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percent</a:t>
            </a:r>
            <a:r>
              <a:rPr lang="en-US" sz="1200" baseline="0"/>
              <a:t> of</a:t>
            </a:r>
            <a:r>
              <a:rPr lang="en-US" sz="1200"/>
              <a:t> Connecticut population, 2016</a:t>
            </a:r>
          </a:p>
        </c:rich>
      </c:tx>
      <c:layout>
        <c:manualLayout>
          <c:xMode val="edge"/>
          <c:yMode val="edge"/>
          <c:x val="0.19352764680668699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'pie coverage'!$B$3</c:f>
              <c:strCache>
                <c:ptCount val="1"/>
                <c:pt idx="0">
                  <c:v>CT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631C-4445-82B6-42D5F7758E41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631C-4445-82B6-42D5F7758E41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631C-4445-82B6-42D5F7758E41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631C-4445-82B6-42D5F7758E41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631C-4445-82B6-42D5F7758E41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'pie coverage'!$A$4:$A$8</c:f>
              <c:strCache>
                <c:ptCount val="5"/>
                <c:pt idx="0">
                  <c:v>uninsured</c:v>
                </c:pt>
                <c:pt idx="1">
                  <c:v>employer-sponsored</c:v>
                </c:pt>
                <c:pt idx="2">
                  <c:v>direct purchase</c:v>
                </c:pt>
                <c:pt idx="3">
                  <c:v>Medicare</c:v>
                </c:pt>
                <c:pt idx="4">
                  <c:v>Medicaid</c:v>
                </c:pt>
              </c:strCache>
            </c:strRef>
          </c:cat>
          <c:val>
            <c:numRef>
              <c:f>'pie coverage'!$B$4:$B$8</c:f>
              <c:numCache>
                <c:formatCode>0%</c:formatCode>
                <c:ptCount val="5"/>
                <c:pt idx="0">
                  <c:v>4.9000000000000002E-2</c:v>
                </c:pt>
                <c:pt idx="1">
                  <c:v>0.60399999999999998</c:v>
                </c:pt>
                <c:pt idx="2">
                  <c:v>0.13200000000000001</c:v>
                </c:pt>
                <c:pt idx="3">
                  <c:v>0.17199999999999999</c:v>
                </c:pt>
                <c:pt idx="4">
                  <c:v>0.20499999999999999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31C-4445-82B6-42D5F7758E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charts!$C$9</c:f>
              <c:strCache>
                <c:ptCount val="1"/>
                <c:pt idx="0">
                  <c:v>US</c:v>
                </c:pt>
              </c:strCache>
            </c:strRef>
          </c:tx>
          <c:marker>
            <c:symbol val="none"/>
          </c:marker>
          <c:cat>
            <c:numRef>
              <c:f>charts!$D$3:$L$3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charts!$D$9:$L$9</c:f>
              <c:numCache>
                <c:formatCode>#,##0.0</c:formatCode>
                <c:ptCount val="9"/>
                <c:pt idx="0">
                  <c:v>58.7</c:v>
                </c:pt>
                <c:pt idx="1">
                  <c:v>56.6</c:v>
                </c:pt>
                <c:pt idx="2">
                  <c:v>54.9</c:v>
                </c:pt>
                <c:pt idx="3">
                  <c:v>54.7</c:v>
                </c:pt>
                <c:pt idx="4">
                  <c:v>54.6</c:v>
                </c:pt>
                <c:pt idx="5">
                  <c:v>54</c:v>
                </c:pt>
                <c:pt idx="6">
                  <c:v>54.2</c:v>
                </c:pt>
                <c:pt idx="7">
                  <c:v>54.4</c:v>
                </c:pt>
                <c:pt idx="8">
                  <c:v>54.7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D9B-7344-81C1-E2042F32BB0F}"/>
            </c:ext>
          </c:extLst>
        </c:ser>
        <c:ser>
          <c:idx val="1"/>
          <c:order val="1"/>
          <c:tx>
            <c:strRef>
              <c:f>charts!$C$20</c:f>
              <c:strCache>
                <c:ptCount val="1"/>
                <c:pt idx="0">
                  <c:v>CT</c:v>
                </c:pt>
              </c:strCache>
            </c:strRef>
          </c:tx>
          <c:marker>
            <c:symbol val="none"/>
          </c:marker>
          <c:cat>
            <c:numRef>
              <c:f>charts!$D$3:$L$3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charts!$D$20:$L$20</c:f>
              <c:numCache>
                <c:formatCode>#,##0.0</c:formatCode>
                <c:ptCount val="9"/>
                <c:pt idx="0">
                  <c:v>69</c:v>
                </c:pt>
                <c:pt idx="1">
                  <c:v>66.400000000000006</c:v>
                </c:pt>
                <c:pt idx="2">
                  <c:v>64.5</c:v>
                </c:pt>
                <c:pt idx="3">
                  <c:v>63.7</c:v>
                </c:pt>
                <c:pt idx="4">
                  <c:v>62.9</c:v>
                </c:pt>
                <c:pt idx="5">
                  <c:v>61</c:v>
                </c:pt>
                <c:pt idx="6">
                  <c:v>60.5</c:v>
                </c:pt>
                <c:pt idx="7">
                  <c:v>60.7</c:v>
                </c:pt>
                <c:pt idx="8">
                  <c:v>60.4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D9B-7344-81C1-E2042F32BB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119417512"/>
        <c:axId val="-2119414568"/>
      </c:lineChart>
      <c:catAx>
        <c:axId val="-2119417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119414568"/>
        <c:crosses val="autoZero"/>
        <c:auto val="1"/>
        <c:lblAlgn val="ctr"/>
        <c:lblOffset val="100"/>
        <c:noMultiLvlLbl val="0"/>
      </c:catAx>
      <c:valAx>
        <c:axId val="-211941456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b="0"/>
                  <a:t>percent with employer-based insurance</a:t>
                </a:r>
              </a:p>
            </c:rich>
          </c:tx>
          <c:overlay val="0"/>
        </c:title>
        <c:numFmt formatCode="#,##0.0" sourceLinked="1"/>
        <c:majorTickMark val="out"/>
        <c:minorTickMark val="none"/>
        <c:tickLblPos val="nextTo"/>
        <c:crossAx val="-2119417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4993802857976"/>
          <c:y val="6.7831985390033905E-2"/>
          <c:w val="0.79271926946631699"/>
          <c:h val="0.594226680443968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'pie coverage'!$B$3</c:f>
              <c:strCache>
                <c:ptCount val="1"/>
                <c:pt idx="0">
                  <c:v>CT</c:v>
                </c:pt>
              </c:strCache>
            </c:strRef>
          </c:tx>
          <c:invertIfNegative val="0"/>
          <c:cat>
            <c:strRef>
              <c:f>'pie coverage'!$A$4:$A$8</c:f>
              <c:strCache>
                <c:ptCount val="5"/>
                <c:pt idx="0">
                  <c:v>uninsured</c:v>
                </c:pt>
                <c:pt idx="1">
                  <c:v>employer-sponsored</c:v>
                </c:pt>
                <c:pt idx="2">
                  <c:v>direct purchase</c:v>
                </c:pt>
                <c:pt idx="3">
                  <c:v>Medicare</c:v>
                </c:pt>
                <c:pt idx="4">
                  <c:v>Medicaid</c:v>
                </c:pt>
              </c:strCache>
            </c:strRef>
          </c:cat>
          <c:val>
            <c:numRef>
              <c:f>'pie coverage'!$B$4:$B$8</c:f>
              <c:numCache>
                <c:formatCode>0%</c:formatCode>
                <c:ptCount val="5"/>
                <c:pt idx="0">
                  <c:v>4.9000000000000002E-2</c:v>
                </c:pt>
                <c:pt idx="1">
                  <c:v>0.60399999999999998</c:v>
                </c:pt>
                <c:pt idx="2">
                  <c:v>0.13200000000000001</c:v>
                </c:pt>
                <c:pt idx="3">
                  <c:v>0.17199999999999999</c:v>
                </c:pt>
                <c:pt idx="4">
                  <c:v>0.20499999999999999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54-C446-A795-23DEDAD2A45F}"/>
            </c:ext>
          </c:extLst>
        </c:ser>
        <c:ser>
          <c:idx val="1"/>
          <c:order val="1"/>
          <c:tx>
            <c:strRef>
              <c:f>'pie coverage'!$C$3</c:f>
              <c:strCache>
                <c:ptCount val="1"/>
                <c:pt idx="0">
                  <c:v>US</c:v>
                </c:pt>
              </c:strCache>
            </c:strRef>
          </c:tx>
          <c:invertIfNegative val="0"/>
          <c:cat>
            <c:strRef>
              <c:f>'pie coverage'!$A$4:$A$8</c:f>
              <c:strCache>
                <c:ptCount val="5"/>
                <c:pt idx="0">
                  <c:v>uninsured</c:v>
                </c:pt>
                <c:pt idx="1">
                  <c:v>employer-sponsored</c:v>
                </c:pt>
                <c:pt idx="2">
                  <c:v>direct purchase</c:v>
                </c:pt>
                <c:pt idx="3">
                  <c:v>Medicare</c:v>
                </c:pt>
                <c:pt idx="4">
                  <c:v>Medicaid</c:v>
                </c:pt>
              </c:strCache>
            </c:strRef>
          </c:cat>
          <c:val>
            <c:numRef>
              <c:f>'pie coverage'!$C$4:$C$8</c:f>
              <c:numCache>
                <c:formatCode>0%</c:formatCode>
                <c:ptCount val="5"/>
                <c:pt idx="0">
                  <c:v>8.5999999999999993E-2</c:v>
                </c:pt>
                <c:pt idx="1">
                  <c:v>0.54700000000000004</c:v>
                </c:pt>
                <c:pt idx="2">
                  <c:v>0.14099999999999999</c:v>
                </c:pt>
                <c:pt idx="3">
                  <c:v>0.17</c:v>
                </c:pt>
                <c:pt idx="4">
                  <c:v>0.20899999999999999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54-C446-A795-23DEDAD2A4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9385832"/>
        <c:axId val="-2119382744"/>
      </c:barChart>
      <c:catAx>
        <c:axId val="-2119385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-2119382744"/>
        <c:crosses val="autoZero"/>
        <c:auto val="1"/>
        <c:lblAlgn val="ctr"/>
        <c:lblOffset val="100"/>
        <c:noMultiLvlLbl val="0"/>
      </c:catAx>
      <c:valAx>
        <c:axId val="-211938274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b="0"/>
                  <a:t>% population,</a:t>
                </a:r>
                <a:r>
                  <a:rPr lang="en-US" b="0" baseline="0"/>
                  <a:t> 2016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5.0925925925925904E-3"/>
              <c:y val="9.9938166482124696E-2"/>
            </c:manualLayout>
          </c:layout>
          <c:overlay val="0"/>
        </c:title>
        <c:numFmt formatCode="0%" sourceLinked="1"/>
        <c:majorTickMark val="out"/>
        <c:minorTickMark val="none"/>
        <c:tickLblPos val="nextTo"/>
        <c:crossAx val="-2119385832"/>
        <c:crosses val="autoZero"/>
        <c:crossBetween val="between"/>
        <c:majorUnit val="0.2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chart3!$C$32</c:f>
              <c:strCache>
                <c:ptCount val="1"/>
                <c:pt idx="0">
                  <c:v>2008-2013</c:v>
                </c:pt>
              </c:strCache>
            </c:strRef>
          </c:tx>
          <c:invertIfNegative val="0"/>
          <c:cat>
            <c:strRef>
              <c:f>chart3!$B$33:$B$36</c:f>
              <c:strCache>
                <c:ptCount val="4"/>
                <c:pt idx="0">
                  <c:v>uninsured</c:v>
                </c:pt>
                <c:pt idx="1">
                  <c:v>employer sponsored</c:v>
                </c:pt>
                <c:pt idx="2">
                  <c:v>Medicaid</c:v>
                </c:pt>
                <c:pt idx="3">
                  <c:v>direct puchase</c:v>
                </c:pt>
              </c:strCache>
            </c:strRef>
          </c:cat>
          <c:val>
            <c:numRef>
              <c:f>chart3!$C$33:$C$36</c:f>
              <c:numCache>
                <c:formatCode>General</c:formatCode>
                <c:ptCount val="4"/>
                <c:pt idx="0">
                  <c:v>31</c:v>
                </c:pt>
                <c:pt idx="1">
                  <c:v>-213</c:v>
                </c:pt>
                <c:pt idx="2">
                  <c:v>177</c:v>
                </c:pt>
                <c:pt idx="3">
                  <c:v>-90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A5-1F40-A837-B8C9C47DDFA9}"/>
            </c:ext>
          </c:extLst>
        </c:ser>
        <c:ser>
          <c:idx val="1"/>
          <c:order val="1"/>
          <c:tx>
            <c:strRef>
              <c:f>chart3!$D$32</c:f>
              <c:strCache>
                <c:ptCount val="1"/>
                <c:pt idx="0">
                  <c:v>2013 to 2016</c:v>
                </c:pt>
              </c:strCache>
            </c:strRef>
          </c:tx>
          <c:invertIfNegative val="0"/>
          <c:cat>
            <c:strRef>
              <c:f>chart3!$B$33:$B$36</c:f>
              <c:strCache>
                <c:ptCount val="4"/>
                <c:pt idx="0">
                  <c:v>uninsured</c:v>
                </c:pt>
                <c:pt idx="1">
                  <c:v>employer sponsored</c:v>
                </c:pt>
                <c:pt idx="2">
                  <c:v>Medicaid</c:v>
                </c:pt>
                <c:pt idx="3">
                  <c:v>direct puchase</c:v>
                </c:pt>
              </c:strCache>
            </c:strRef>
          </c:cat>
          <c:val>
            <c:numRef>
              <c:f>chart3!$D$33:$D$36</c:f>
              <c:numCache>
                <c:formatCode>General</c:formatCode>
                <c:ptCount val="4"/>
                <c:pt idx="0">
                  <c:v>-161</c:v>
                </c:pt>
                <c:pt idx="1">
                  <c:v>-32</c:v>
                </c:pt>
                <c:pt idx="2">
                  <c:v>113</c:v>
                </c:pt>
                <c:pt idx="3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A5-1F40-A837-B8C9C47DDF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4257672"/>
        <c:axId val="-2134263688"/>
      </c:barChart>
      <c:catAx>
        <c:axId val="-2134257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/>
            </a:pPr>
            <a:endParaRPr lang="en-US"/>
          </a:p>
        </c:txPr>
        <c:crossAx val="-2134263688"/>
        <c:crosses val="autoZero"/>
        <c:auto val="1"/>
        <c:lblAlgn val="ctr"/>
        <c:lblOffset val="100"/>
        <c:noMultiLvlLbl val="0"/>
      </c:catAx>
      <c:valAx>
        <c:axId val="-213426368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b="0"/>
                  <a:t>CT residents (1000s)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2134257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charts!$C$13</c:f>
              <c:strCache>
                <c:ptCount val="1"/>
                <c:pt idx="0">
                  <c:v>US</c:v>
                </c:pt>
              </c:strCache>
            </c:strRef>
          </c:tx>
          <c:marker>
            <c:symbol val="none"/>
          </c:marker>
          <c:cat>
            <c:numRef>
              <c:f>charts!$D$3:$L$3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charts!$D$13:$L$13</c:f>
              <c:numCache>
                <c:formatCode>#,##0.0</c:formatCode>
                <c:ptCount val="9"/>
                <c:pt idx="0">
                  <c:v>15.1</c:v>
                </c:pt>
                <c:pt idx="1">
                  <c:v>16.2</c:v>
                </c:pt>
                <c:pt idx="2">
                  <c:v>17</c:v>
                </c:pt>
                <c:pt idx="3">
                  <c:v>17.600000000000001</c:v>
                </c:pt>
                <c:pt idx="4">
                  <c:v>17.899999999999999</c:v>
                </c:pt>
                <c:pt idx="5">
                  <c:v>17.899999999999999</c:v>
                </c:pt>
                <c:pt idx="6">
                  <c:v>19.2</c:v>
                </c:pt>
                <c:pt idx="7">
                  <c:v>20.5</c:v>
                </c:pt>
                <c:pt idx="8">
                  <c:v>20.9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161-014B-9886-60D8F5976E1C}"/>
            </c:ext>
          </c:extLst>
        </c:ser>
        <c:ser>
          <c:idx val="1"/>
          <c:order val="1"/>
          <c:tx>
            <c:strRef>
              <c:f>charts!$C$24</c:f>
              <c:strCache>
                <c:ptCount val="1"/>
                <c:pt idx="0">
                  <c:v>CT</c:v>
                </c:pt>
              </c:strCache>
            </c:strRef>
          </c:tx>
          <c:marker>
            <c:symbol val="none"/>
          </c:marker>
          <c:cat>
            <c:numRef>
              <c:f>charts!$D$3:$L$3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charts!$D$24:$L$24</c:f>
              <c:numCache>
                <c:formatCode>#,##0.0</c:formatCode>
                <c:ptCount val="9"/>
                <c:pt idx="0">
                  <c:v>12.6</c:v>
                </c:pt>
                <c:pt idx="1">
                  <c:v>13.6</c:v>
                </c:pt>
                <c:pt idx="2">
                  <c:v>15.1</c:v>
                </c:pt>
                <c:pt idx="3">
                  <c:v>16.3</c:v>
                </c:pt>
                <c:pt idx="4">
                  <c:v>17</c:v>
                </c:pt>
                <c:pt idx="5">
                  <c:v>17.3</c:v>
                </c:pt>
                <c:pt idx="6">
                  <c:v>19.2</c:v>
                </c:pt>
                <c:pt idx="7">
                  <c:v>19.600000000000001</c:v>
                </c:pt>
                <c:pt idx="8">
                  <c:v>20.5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161-014B-9886-60D8F5976E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119394904"/>
        <c:axId val="-2119375896"/>
      </c:lineChart>
      <c:catAx>
        <c:axId val="-2119394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119375896"/>
        <c:crosses val="autoZero"/>
        <c:auto val="1"/>
        <c:lblAlgn val="ctr"/>
        <c:lblOffset val="100"/>
        <c:noMultiLvlLbl val="0"/>
      </c:catAx>
      <c:valAx>
        <c:axId val="-211937589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b="0"/>
                  <a:t>percent with Medicaid coverage</a:t>
                </a:r>
              </a:p>
            </c:rich>
          </c:tx>
          <c:overlay val="0"/>
        </c:title>
        <c:numFmt formatCode="#,##0.0" sourceLinked="1"/>
        <c:majorTickMark val="out"/>
        <c:minorTickMark val="none"/>
        <c:tickLblPos val="nextTo"/>
        <c:crossAx val="-2119394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37CC755268DC4A8C9C14600FBD1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535C4-835D-EA4D-B721-94D3BC7E78FB}"/>
      </w:docPartPr>
      <w:docPartBody>
        <w:p w:rsidR="004649A1" w:rsidRDefault="0009306B" w:rsidP="0009306B">
          <w:pPr>
            <w:pStyle w:val="CF37CC755268DC4A8C9C14600FBD10C2"/>
          </w:pPr>
          <w:r>
            <w:t>[Type text]</w:t>
          </w:r>
        </w:p>
      </w:docPartBody>
    </w:docPart>
    <w:docPart>
      <w:docPartPr>
        <w:name w:val="57208B8713E12B41B52C8D07311C5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7AB74-6C0F-944C-873F-EB2E06301891}"/>
      </w:docPartPr>
      <w:docPartBody>
        <w:p w:rsidR="004649A1" w:rsidRDefault="0009306B" w:rsidP="0009306B">
          <w:pPr>
            <w:pStyle w:val="57208B8713E12B41B52C8D07311C57EB"/>
          </w:pPr>
          <w:r>
            <w:t>[Type text]</w:t>
          </w:r>
        </w:p>
      </w:docPartBody>
    </w:docPart>
    <w:docPart>
      <w:docPartPr>
        <w:name w:val="A939BEF962580C48BF8CAE4DB9DE9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9650-ABAA-DD40-B96C-B8C112047D72}"/>
      </w:docPartPr>
      <w:docPartBody>
        <w:p w:rsidR="004649A1" w:rsidRDefault="0009306B" w:rsidP="0009306B">
          <w:pPr>
            <w:pStyle w:val="A939BEF962580C48BF8CAE4DB9DE97A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06B"/>
    <w:rsid w:val="00090786"/>
    <w:rsid w:val="0009306B"/>
    <w:rsid w:val="000B0F5C"/>
    <w:rsid w:val="004649A1"/>
    <w:rsid w:val="00756A40"/>
    <w:rsid w:val="00B8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37CC755268DC4A8C9C14600FBD10C2">
    <w:name w:val="CF37CC755268DC4A8C9C14600FBD10C2"/>
    <w:rsid w:val="0009306B"/>
  </w:style>
  <w:style w:type="paragraph" w:customStyle="1" w:styleId="57208B8713E12B41B52C8D07311C57EB">
    <w:name w:val="57208B8713E12B41B52C8D07311C57EB"/>
    <w:rsid w:val="0009306B"/>
  </w:style>
  <w:style w:type="paragraph" w:customStyle="1" w:styleId="A939BEF962580C48BF8CAE4DB9DE97A3">
    <w:name w:val="A939BEF962580C48BF8CAE4DB9DE97A3"/>
    <w:rsid w:val="0009306B"/>
  </w:style>
  <w:style w:type="paragraph" w:customStyle="1" w:styleId="519813242FF537409102BE1003708CAB">
    <w:name w:val="519813242FF537409102BE1003708CAB"/>
    <w:rsid w:val="0009306B"/>
  </w:style>
  <w:style w:type="paragraph" w:customStyle="1" w:styleId="1DEED6B6B7190842A31E80FBB23B92EB">
    <w:name w:val="1DEED6B6B7190842A31E80FBB23B92EB"/>
    <w:rsid w:val="0009306B"/>
  </w:style>
  <w:style w:type="paragraph" w:customStyle="1" w:styleId="E1F12D812A1521419714EF4262A893FD">
    <w:name w:val="E1F12D812A1521419714EF4262A893FD"/>
    <w:rsid w:val="00093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8DB432-82C5-A242-879A-22D0DFBD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1591</Characters>
  <Application>Microsoft Office Word</Application>
  <DocSecurity>0</DocSecurity>
  <Lines>13</Lines>
  <Paragraphs>3</Paragraphs>
  <ScaleCrop>false</ScaleCrop>
  <Company>CT Health Policy Project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Andrews</dc:creator>
  <cp:keywords/>
  <dc:description/>
  <cp:lastModifiedBy>Ellen Andrews</cp:lastModifiedBy>
  <cp:revision>2</cp:revision>
  <cp:lastPrinted>2015-04-01T16:25:00Z</cp:lastPrinted>
  <dcterms:created xsi:type="dcterms:W3CDTF">2018-06-16T13:15:00Z</dcterms:created>
  <dcterms:modified xsi:type="dcterms:W3CDTF">2018-06-16T13:15:00Z</dcterms:modified>
</cp:coreProperties>
</file>